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49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287788" cy="68881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8" cy="688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187234" cy="625171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234" cy="625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Э-УРОК ПРИГЛАШЕННОГО УЧИТЕЛЯ –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ВСТРЕЧАЕМСЯ В ОБЩЕМ ВИРТУАЛЬНОМ КЛАССЕ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ПРОГРАММА УРОКА #379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урока: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20"/>
                <w:szCs w:val="2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 нас способность совершать дела?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»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Приглашенный учитель: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Олев Михкельсон,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судья Вируского уездного суда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Ученики: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10–12 класс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Учебная цель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Ученик знает, что такое опека, что означает дееспособность, и в каких случаях она ограничивается.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Связь с государственной учебной программой: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highlight w:val="white"/>
                <w:rtl w:val="0"/>
              </w:rPr>
              <w:t xml:space="preserve">социальная и гражданская компетенция, психическое и физическое здоровье и безопасность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Структура 45-минутного урока: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 мин.</w:t>
              <w:tab/>
              <w:tab/>
              <w:tab/>
              <w:t xml:space="preserve">20 + 3 мин.</w:t>
              <w:tab/>
              <w:tab/>
              <w:tab/>
              <w:t xml:space="preserve">17 мин.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подготовка</w:t>
              <w:tab/>
              <w:tab/>
              <w:t xml:space="preserve">трансляция + вопросы</w:t>
              <w:tab/>
              <w:tab/>
              <w:t xml:space="preserve">самостоятельная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ab/>
              <w:tab/>
              <w:tab/>
              <w:t xml:space="preserve">ответы</w:t>
              <w:tab/>
              <w:t xml:space="preserve">с приглашенным</w:t>
              <w:tab/>
              <w:t xml:space="preserve">учеба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ab/>
              <w:tab/>
              <w:tab/>
              <w:t xml:space="preserve">учителем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Подготовка к уроку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для учителей и учеников: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Необходимые средства: компьютер, интернет-соединение, проектор, колонки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Включите компьютер, проектор и откройте ссылку с э-уроком в YouTube.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 возможности войдите в Youtube под именем пользователя, чтобы вы могли сообщить о присоединении своего класса к уроку и передавать вопросы учеников.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Проверьте динамики, чтобы звук был слышен во всем классе.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Ознакомьтесь с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рабочим листом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для учеников. Распечатайте его и раздайте ученикам.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Распечатайте и разложите на парты описание казуса «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Кто кого воспитывает?»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чтобы соседи по парте обсудили его друг с другом.</w:t>
            </w:r>
          </w:p>
        </w:tc>
      </w:tr>
      <w:tr>
        <w:trPr>
          <w:cantSplit w:val="0"/>
          <w:trHeight w:val="148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Справочная информация по теме урока: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Опека и ограничение дееспособности – не очень простые темы, но многим детям приходится сталкиваться с ними уже с малых лет. И даже если человек еще не сталкивался с этой темой лично, о ней полезно кое-что узнать для расширения кругозора и для того, чтобы быть в курсе процессов, происходящих в общественной жизни. Например, на э-уроке ученики узнают, что вообще такое дееспособность взрослых, и в каких случаях она ограничивается. Или наоборот: в каких случаях расширяется дееспособность несовершеннолетнего лица. Подробно об этом расскажет судья Вируского уездного суда Олев Михкельсон. Э-урок создан в сотрудничестве с Министерством социальных дел и Европейским социальным фондом.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color w:val="000000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Настройка и задание на время видео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 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НАСТРОЙКА – 5 мин.</w:t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Начиная с какого возраста люди готовы нести различную ответственность? Заполните таблицу и обсудите результаты в классе.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Некоторые результаты можно сравнить со средними оценками участников исследования: </w:t>
            </w:r>
            <w:hyperlink r:id="rId9">
              <w:r w:rsidDel="00000000" w:rsidR="00000000" w:rsidRPr="00000000">
                <w:rPr>
                  <w:color w:val="0070c0"/>
                  <w:sz w:val="20"/>
                  <w:szCs w:val="20"/>
                  <w:u w:val="single"/>
                  <w:rtl w:val="0"/>
                </w:rPr>
                <w:t xml:space="preserve">https://ajakiri.lastekaitseliit.ee/2019/11/15/vanusest-ja-vastutusest-laste-ja-taiskasvanute-pilgu-labi/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(в конце статьи).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Задание во время просмотра видео, настройка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Попросите учеников отметить 2 вопроса, которые возникли во время просмотра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видео, и задать их в чате Youtube. Пожалуйста, прочитайте инструкцию ниже и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передайте ее ученикам.</w:t>
            </w:r>
          </w:p>
        </w:tc>
      </w:tr>
      <w:tr>
        <w:trPr>
          <w:cantSplit w:val="0"/>
          <w:trHeight w:val="375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Просмотр прямой трансляции и задавание вопросов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ВОПРОСЫ ПРИГЛАШЕННОМУ УЧИТЕЛЮ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чате YouTube мы ожидаем от школ: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сообщение о подключении к прямой трансляции (напр., Куртнаская школа на месте) и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вопросы приглашенному учителю в следующем виде: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02124"/>
                <w:sz w:val="20"/>
                <w:szCs w:val="20"/>
                <w:rtl w:val="0"/>
              </w:rPr>
              <w:t xml:space="preserve">Мария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12 класс, Куртнаская школа. Как стать президентом?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 спрашивает учеников и выбирает лучшие вопросы. Учитель или один выбранный учителем ученик пишет вопросы в окно чата YouTube.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ученики следят за уроком со своего устройства, то перед уроком с ними оговариваются правила участия в чате YouTube. Без усвоения правил ученикам нельзя предоставлять доступ в Youtube, поскольку иначе они могут мешать уроку.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Пожалуйста, предупредите своих учеников, что может случиться, что не на все вопросы мы успеем ответить во время прямой трансляции.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Чем раньше вы успеете отправить вопросы, тем с большей вероятностью мы успеем ответить.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учеба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Рабочий лист «У нас способность совершать дела?»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Опека и ограничение дееспособности – не очень простые темы, но многим детям приходится сталкиваться с ними уже с малых лет. И даже если человек еще не сталкивался с этой темой лично, о ней полезно кое-что узнать для расширения кругозора и для того, чтобы быть в курсе процессов, происходящих в общественной жизни. Например, на э-уроке ученики узнают, что вообще такое дееспособность взрослых, и в каких случаях она ограничивается. Или наоборот: в каких случаях расширяется дееспособность несовершеннолетнего лица. Подробно об этом расскажет судья Вируского уездного суда Олев Михкельсон.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Используй рабочий лист следующим образом: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перед прямой трансляцией заполните таблицу;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 время прямой трансляции задавай вопросы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после прямой трансляции разрешите казус или напишите заявление в суд.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ПЕРЕД ПРЯМОЙ ТРАНСЛЯЦИЕЙ ЗАПОЛНИТЕ ТАБЛИЦУ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Подумайте,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начиная с какого возраста дети, молодежь и взрослые, по вашему мнению, готовы совершать различные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405313" cy="2261959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313" cy="2261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Сравните свою таблицу с таблицей своего соседа по парте. Обсудите, какие действия в нынешней правовой среде Эстонии несовершеннолетние лица, по вашему мнению, пока не могут совершать без разрешения взрослых.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 ВРЕМЯ ПРЯМОЙ ТРАНСЛЯЦИИ ЗАДАВАЙ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обсуждение свой вопрос следующим образом: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Мария, 12 класс, Куртнаская школа. Как стать президентом?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ПОСЛЕ ПРЯМОЙ ТРАНСЛЯЦИИ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РАЗРЕШИТЕ КАЗУС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раскладывает на парты листы с описанием казуса (то есть случая) с одного из прошедших казус-конкурсов Государственного суда, в рамках которого ученики 9–12-го классов имели возможность самостоятельно разрешить случай, используя свои чувство справедливости и правосознание. Прочитайте свой текст и обсудите с соседом по парте, как вы ответили бы на вспомогательные вопросы.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Вспомогательные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Какие обстоятельства суд должен учесть при принятии решения?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Несовершеннолетнее лицо имеет право на свободную самореализацию (статья 19 конституции)?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Несовершеннолетнее лицо, ожидающее ребенка, вправе самостоятельно принять решение о прерывании беременности?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Родители несовершеннолетнего лица должны иметь право принятия решения относительно вступления их ребенка в брак?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Нужно ли вообще предоставлять несовершеннолетнему лицу возможность вступления в брак путем расширения его дееспособности, или возможность вступать в брак должны иметь только совершеннолетние лица?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Затем обсудите в классе, должен ли суд расширить дееспособность Лооре, чтобы девочка смогла вступить в брак. Вы можете нарисовать на доске большую таблицу с аргументами за и против. Пусть ученики, сидящие ближе к двери, приведут аргументы против, а ученики, сидящие ближе к окну, аргументы 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85.0" w:type="dxa"/>
              <w:jc w:val="left"/>
              <w:tblLayout w:type="fixed"/>
              <w:tblLook w:val="0400"/>
            </w:tblPr>
            <w:tblGrid>
              <w:gridCol w:w="3557"/>
              <w:gridCol w:w="3928"/>
              <w:tblGridChange w:id="0">
                <w:tblGrid>
                  <w:gridCol w:w="3557"/>
                  <w:gridCol w:w="3928"/>
                </w:tblGrid>
              </w:tblGridChange>
            </w:tblGrid>
            <w:tr>
              <w:trPr>
                <w:cantSplit w:val="0"/>
                <w:trHeight w:val="673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Аргументы против – почему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не нужно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расширять дееспособность Лооре: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Аргументы за – почему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нужно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расширить дееспособность Лооре: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16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0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ПРЯМОЙ ТРАНСЛЯЦИИ НАПИШИТЕ ПИСЬМО О РАСШИРЕНИИ ДЕЕСПОСОБНОСТИ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Напишите здесь или на чистом листе заявление о расширении своей дееспособности в ближайший уездный суд. Выберите один из следующих сценариев: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пока являетесь несовершеннолетним лицом, но хотите вступить в брак со своим партнером, с которым вы вместе уже два года.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хотите расширить дееспособность для того, чтобы превратить свою ученическую фирму (придумайте сами, что это может быть за фирма), получившую приз, в настоящее предприятие. Для этого вам необходимо разрешение на вступление в состав правления предприятия и самостоятельное совершение банковских операций.</w:t>
            </w:r>
          </w:p>
          <w:p w:rsidR="00000000" w:rsidDel="00000000" w:rsidP="00000000" w:rsidRDefault="00000000" w:rsidRPr="00000000" w14:paraId="0000006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ЗАЯВЛЕНИЕ О РАСШИРЕНИИ ДЕЕСПОСОБНОСТИ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Возможная дальнейшая деятельность и дополнительные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Прочитанные на уроке казусы не имеют правильного ответа – их должны разрешить ученики. Если останется лишнее время, можете уточнить, как другие дети их разрешили. Эту информацию можно найти в следующем сборнике, где соответствующие казусы описаны под заголовком «Кто кого воспитывает?» (эст. “Kes keda kasvatab?” – прим.). Ученики могут прочитать описания разных решений и сравнить их между собой: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https://www.riigikohus.ee/sites/default/files/elfinder/%C3%B5igusalased%20materjalid/Riigikohtu%20tr%C3%BCkised/riigikohtu_kaasuskonkurss96.pdf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Две статьи из журнала «Заметь ребенка» (эст. Märka Last – прим.) Союза защиты детей: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1)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https://ajakiri.lastekaitseliit.ee/2019/11/15/vanusest-ja-vastutusest-laste-ja-taiskasvanute-pilgu-labi/https://ajakiri.lastekaitseliit.ee/2019/11/15/vanusest-ja-vastutusest-laste-ja-taiskasvanute-pilgu-labi/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2)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https://ajakiri.lastekaitseliit.ee/2016/08/16/alaealise-oigused-ja-kohustused/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Прочтение этого текста займет примерно 10–15 минут. Попросите соседей по парте прочитать разные тексты и устно рассказать их краткое содержание. Также пусть они ответят на следующие вопросы: Каков основной посыл данной статьи? Что нового вы узнали? В каком случае дееспособность несовершеннолетнего лица может быть расширена?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Закон об общей части гражданского кодекса. Часть 2, глава 1, раздел 1.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https://www.riigiteataja.ee/akt/106122010012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https://www.just.ee/sites/www.just.ee/files/eestkoste.pdf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3E1A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3E1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4E25B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4E25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E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iigikohus.ee/sites/default/files/elfinder/%C3%B5igusalased%20materjalid/Riigikohtu%20tr%C3%BCkised/riigikohtu_kaasuskonkurss96.pdf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ajakiri.lastekaitseliit.ee/2016/08/16/alaealise-oigused-ja-kohustused/" TargetMode="External"/><Relationship Id="rId12" Type="http://schemas.openxmlformats.org/officeDocument/2006/relationships/hyperlink" Target="https://ajakiri.lastekaitseliit.ee/2019/11/15/vanusest-ja-vastutusest-laste-ja-taiskasvanute-pilgu-labi/https://ajakiri.lastekaitseliit.ee/2019/11/15/vanusest-ja-vastutusest-laste-ja-taiskasvanute-pilgu-lab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jakiri.lastekaitseliit.ee/2019/11/15/vanusest-ja-vastutusest-laste-ja-taiskasvanute-pilgu-labi/" TargetMode="External"/><Relationship Id="rId15" Type="http://schemas.openxmlformats.org/officeDocument/2006/relationships/hyperlink" Target="https://www.just.ee/sites/www.just.ee/files/eestkoste.pdf" TargetMode="External"/><Relationship Id="rId14" Type="http://schemas.openxmlformats.org/officeDocument/2006/relationships/hyperlink" Target="https://www.riigiteataja.ee/akt/10612201001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YbuunlYBk8f28fjGZjnibfZFA==">AMUW2mULCDb7leIXW9lvpixaJWYX3l8IIpTTW9efPWGbxz+XBUnnEJyvbQDO52Gu7zM1rZT6e8aLNCi02nQA/tl2P/lT3PiDmdViiSvhASJt8FwclcwH3JxfY969zkEy9jQfMn4nYiILoAKFjnMjqH1MRxrCdz4gJQ==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2022-10-04T08:39:00Z</dcterms:created>
</cp:coreProperties>
</file>