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color w:val="1c1e21"/>
          <w:sz w:val="28"/>
          <w:szCs w:val="28"/>
          <w:highlight w:val="white"/>
        </w:rPr>
      </w:pPr>
      <w:r w:rsidDel="00000000" w:rsidR="00000000" w:rsidRPr="00000000">
        <w:rPr>
          <w:b w:val="1"/>
          <w:sz w:val="28"/>
          <w:szCs w:val="28"/>
          <w:rtl w:val="0"/>
        </w:rPr>
        <w:t xml:space="preserve">Tööleht  </w:t>
      </w:r>
      <w:r w:rsidDel="00000000" w:rsidR="00000000" w:rsidRPr="00000000">
        <w:rPr>
          <w:b w:val="1"/>
          <w:color w:val="1c1e21"/>
          <w:sz w:val="28"/>
          <w:szCs w:val="28"/>
          <w:highlight w:val="white"/>
          <w:rtl w:val="0"/>
        </w:rPr>
        <w:t xml:space="preserve">"Kui palju maksab laenu võtmine?”</w:t>
      </w:r>
    </w:p>
    <w:p w:rsidR="00000000" w:rsidDel="00000000" w:rsidP="00000000" w:rsidRDefault="00000000" w:rsidRPr="00000000" w14:paraId="00000002">
      <w:pPr>
        <w:widowControl w:val="0"/>
        <w:spacing w:line="240" w:lineRule="auto"/>
        <w:rPr>
          <w:b w:val="1"/>
          <w:color w:val="1c1e2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color w:val="1d2129"/>
          <w:sz w:val="20"/>
          <w:szCs w:val="20"/>
          <w:highlight w:val="white"/>
        </w:rPr>
      </w:pPr>
      <w:r w:rsidDel="00000000" w:rsidR="00000000" w:rsidRPr="00000000">
        <w:rPr>
          <w:color w:val="1c1e21"/>
          <w:sz w:val="20"/>
          <w:szCs w:val="20"/>
          <w:rtl w:val="0"/>
        </w:rPr>
        <w:t xml:space="preserve">Märts on rahatarkuse kuu. Seda, millega arvestada laenu võtmisel, millised on laenu võtmisega seotud õigused ning mis on krediidi kulukuse määr, tutvustavad teile tänases e-külalistunnis </w:t>
      </w:r>
      <w:r w:rsidDel="00000000" w:rsidR="00000000" w:rsidRPr="00000000">
        <w:rPr>
          <w:color w:val="1d2129"/>
          <w:sz w:val="20"/>
          <w:szCs w:val="20"/>
          <w:highlight w:val="white"/>
          <w:rtl w:val="0"/>
        </w:rPr>
        <w:t xml:space="preserve">Finantsinspektsiooni finantsteenuste järelevalve osakonna juht</w:t>
      </w:r>
      <w:r w:rsidDel="00000000" w:rsidR="00000000" w:rsidRPr="00000000">
        <w:rPr>
          <w:color w:val="1c1e21"/>
          <w:sz w:val="20"/>
          <w:szCs w:val="20"/>
          <w:rtl w:val="0"/>
        </w:rPr>
        <w:t xml:space="preserve"> </w:t>
      </w:r>
      <w:r w:rsidDel="00000000" w:rsidR="00000000" w:rsidRPr="00000000">
        <w:rPr>
          <w:color w:val="1d2129"/>
          <w:sz w:val="20"/>
          <w:szCs w:val="20"/>
          <w:highlight w:val="white"/>
          <w:rtl w:val="0"/>
        </w:rPr>
        <w:t xml:space="preserve">Mari Puusaag-Tamm ning </w:t>
      </w:r>
      <w:r w:rsidDel="00000000" w:rsidR="00000000" w:rsidRPr="00000000">
        <w:rPr>
          <w:sz w:val="20"/>
          <w:szCs w:val="20"/>
          <w:rtl w:val="0"/>
        </w:rPr>
        <w:t xml:space="preserve">finantsinspektsiooni finantsteenuste järelevalve osakonna jurist</w:t>
      </w:r>
      <w:r w:rsidDel="00000000" w:rsidR="00000000" w:rsidRPr="00000000">
        <w:rPr>
          <w:color w:val="1d2129"/>
          <w:sz w:val="20"/>
          <w:szCs w:val="20"/>
          <w:highlight w:val="white"/>
          <w:rtl w:val="0"/>
        </w:rPr>
        <w:t xml:space="preserve"> </w:t>
      </w:r>
      <w:r w:rsidDel="00000000" w:rsidR="00000000" w:rsidRPr="00000000">
        <w:rPr>
          <w:sz w:val="20"/>
          <w:szCs w:val="20"/>
          <w:rtl w:val="0"/>
        </w:rPr>
        <w:t xml:space="preserve">Teele Jürjer.</w:t>
      </w:r>
      <w:r w:rsidDel="00000000" w:rsidR="00000000" w:rsidRPr="00000000">
        <w:rPr>
          <w:rtl w:val="0"/>
        </w:rPr>
      </w:r>
    </w:p>
    <w:p w:rsidR="00000000" w:rsidDel="00000000" w:rsidP="00000000" w:rsidRDefault="00000000" w:rsidRPr="00000000" w14:paraId="00000004">
      <w:pPr>
        <w:widowControl w:val="0"/>
        <w:spacing w:line="240" w:lineRule="auto"/>
        <w:rPr>
          <w:color w:val="1d2129"/>
          <w:sz w:val="18"/>
          <w:szCs w:val="18"/>
          <w:highlight w:val="white"/>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2"/>
        </w:numPr>
        <w:spacing w:line="240" w:lineRule="auto"/>
        <w:ind w:left="720" w:hanging="360"/>
        <w:rPr>
          <w:sz w:val="20"/>
          <w:szCs w:val="20"/>
        </w:rPr>
      </w:pPr>
      <w:r w:rsidDel="00000000" w:rsidR="00000000" w:rsidRPr="00000000">
        <w:rPr>
          <w:sz w:val="20"/>
          <w:szCs w:val="20"/>
          <w:rtl w:val="0"/>
        </w:rPr>
        <w:t xml:space="preserve">enne otseülekannet täida tabeleid</w:t>
      </w:r>
    </w:p>
    <w:p w:rsidR="00000000" w:rsidDel="00000000" w:rsidP="00000000" w:rsidRDefault="00000000" w:rsidRPr="00000000" w14:paraId="00000007">
      <w:pPr>
        <w:widowControl w:val="0"/>
        <w:numPr>
          <w:ilvl w:val="0"/>
          <w:numId w:val="2"/>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2"/>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ENNE OTSEÜLEKANDE VAATAMIST TÄIDA TABELID</w:t>
      </w:r>
    </w:p>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Arutle koos pinginaabriga ning mõelge, milliseid erinevat tüüpi laenusid te nimetada oskate (ntks SMS laen).</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5925"/>
        <w:tblGridChange w:id="0">
          <w:tblGrid>
            <w:gridCol w:w="3075"/>
            <w:gridCol w:w="5925"/>
          </w:tblGrid>
        </w:tblGridChange>
      </w:tblGrid>
      <w:tr>
        <w:trPr>
          <w:cantSplit w:val="0"/>
          <w:trHeight w:val="64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b w:val="1"/>
                <w:sz w:val="20"/>
                <w:szCs w:val="20"/>
              </w:rPr>
            </w:pPr>
            <w:r w:rsidDel="00000000" w:rsidR="00000000" w:rsidRPr="00000000">
              <w:rPr>
                <w:b w:val="1"/>
                <w:sz w:val="20"/>
                <w:szCs w:val="20"/>
                <w:rtl w:val="0"/>
              </w:rPr>
              <w:t xml:space="preserve">Erinevat tüüpi laenud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Seejärel lisa tabelisse definitsiooni juurde vastav mõiste. Arutle pinginaabriga, millised mõisted olid Sulle juba varasemalt tuttavad? Ole tähelepanelik, kas neid sõnu ka tänases e-külalistunned kuuled?</w:t>
      </w:r>
    </w:p>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i w:val="1"/>
          <w:sz w:val="20"/>
          <w:szCs w:val="20"/>
        </w:rPr>
      </w:pPr>
      <w:r w:rsidDel="00000000" w:rsidR="00000000" w:rsidRPr="00000000">
        <w:rPr>
          <w:b w:val="1"/>
          <w:i w:val="1"/>
          <w:sz w:val="20"/>
          <w:szCs w:val="20"/>
          <w:rtl w:val="0"/>
        </w:rPr>
        <w:t xml:space="preserve">Hüpoteek, hüpoteeklaen, jääkväärtus, kaastaotleja, kodulaen, omafinantseering, tagatisvara</w:t>
      </w:r>
      <w:r w:rsidDel="00000000" w:rsidR="00000000" w:rsidRPr="00000000">
        <w:rPr>
          <w:i w:val="1"/>
          <w:sz w:val="20"/>
          <w:szCs w:val="20"/>
          <w:rtl w:val="0"/>
        </w:rPr>
        <w:t xml:space="preserve">.</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bl>
      <w:tblPr>
        <w:tblStyle w:val="Table2"/>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090"/>
        <w:tblGridChange w:id="0">
          <w:tblGrid>
            <w:gridCol w:w="2895"/>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Laenaja pereliige või lähedane, kellega soovitakse ühiselt laenu võtta.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Vara maksumus liisinguperioodi lõpus peale liisingmaksete lõppu.</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Kinnisasja pant, näiteks ostetav eluase või lisatagatis. Tagatiseks laenuandjale, kui laenu ei suudeta tagasi maksta ja annab õiguse nõuda tagatise müümist võla katteks.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Eluasemelaen on mõeldud uue kodu ostmiseks või olemasoleva uue vastu vahetamiseks. Laenu tagatiseks jääb enamasti ostetav kinnisvara. Pangad finantseerivad enamasti 66-80 protsendi tagatise turuväärtusest. Noortel peredel on võimalik kasutada sihtasutuse Kredex käendust ja vähendada nii omafinantseeringu määra kuni kümne protsendini.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Korter, maja, maatükk või muu vara, mis on laenu tagatiseks. Kinnisvara turuväärtust hindavad reeglina maakleribürood või ka pangad ise.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Kodukapitalilaen. Kinnisvara tagatisel antav vaba sihtotstarbega laen, mida võib kasutada remondi, õppe- ja ravikulutuste, suuremate sisseostude, äritegevuse, investeeringute, tarbimiskulutuste jms finantseerimiseks.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262626"/>
                <w:sz w:val="20"/>
                <w:szCs w:val="20"/>
                <w:highlight w:val="white"/>
                <w:rtl w:val="0"/>
              </w:rPr>
              <w:t xml:space="preserve">Osa ostetava vara väärtusest, mis tuleb laenajal endal välja käia. Kinnisvara soetamisel ootavad pangad enamasti, et laenajal oleks olemas 20-30 protsenti ostuhinnast.</w:t>
            </w:r>
            <w:r w:rsidDel="00000000" w:rsidR="00000000" w:rsidRPr="00000000">
              <w:rPr>
                <w:rtl w:val="0"/>
              </w:rPr>
            </w:r>
          </w:p>
        </w:tc>
      </w:tr>
    </w:tbl>
    <w:p w:rsidR="00000000" w:rsidDel="00000000" w:rsidP="00000000" w:rsidRDefault="00000000" w:rsidRPr="00000000" w14:paraId="0000002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b w:val="1"/>
          <w:sz w:val="24"/>
          <w:szCs w:val="24"/>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OTSEÜLEKANDE JÄREL UURI ERINEVAID JÄRELMAKSU VÕIMALUSI</w:t>
      </w:r>
    </w:p>
    <w:p w:rsidR="00000000" w:rsidDel="00000000" w:rsidP="00000000" w:rsidRDefault="00000000" w:rsidRPr="00000000" w14:paraId="0000002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Ülesanne: </w:t>
      </w:r>
    </w:p>
    <w:p w:rsidR="00000000" w:rsidDel="00000000" w:rsidP="00000000" w:rsidRDefault="00000000" w:rsidRPr="00000000" w14:paraId="00000031">
      <w:pPr>
        <w:rPr>
          <w:b w:val="1"/>
          <w:sz w:val="20"/>
          <w:szCs w:val="20"/>
        </w:rPr>
      </w:pPr>
      <w:r w:rsidDel="00000000" w:rsidR="00000000" w:rsidRPr="00000000">
        <w:rPr>
          <w:sz w:val="20"/>
          <w:szCs w:val="20"/>
          <w:rtl w:val="0"/>
        </w:rPr>
        <w:t xml:space="preserve">Tahad osta uut nutitelefoni, kuid hetkel pole piisavalt vaba raha, et telefon kohe välja osta, mistõttu otsustasid kasutada järelmaksu võimalust. Uurisid telefonide pakkumisi erinevatest e-poodidest ja nägid, et erinevates e-poodides on erinev hulk informatsiooni selle kohta, kui kalliks Sulle toote ostmine järelmaksuga läheks. Olenemata sellest, et informatsiooni hulk ei ole võrdväärne, tuleb Sul valik langetada. Leia endale järgmise kolme järelmaksu pakkuja seast Sulle kõige soodsam pakkumine. </w:t>
      </w:r>
      <w:r w:rsidDel="00000000" w:rsidR="00000000" w:rsidRPr="00000000">
        <w:rPr>
          <w:b w:val="1"/>
          <w:sz w:val="20"/>
          <w:szCs w:val="20"/>
          <w:rtl w:val="0"/>
        </w:rPr>
        <w:t xml:space="preserve">Millise pakkumise Sa valiksid ja miks? </w:t>
      </w:r>
    </w:p>
    <w:p w:rsidR="00000000" w:rsidDel="00000000" w:rsidP="00000000" w:rsidRDefault="00000000" w:rsidRPr="00000000" w14:paraId="00000032">
      <w:pPr>
        <w:rPr>
          <w:sz w:val="20"/>
          <w:szCs w:val="20"/>
        </w:rPr>
      </w:pPr>
      <w:r w:rsidDel="00000000" w:rsidR="00000000" w:rsidRPr="00000000">
        <w:rPr>
          <w:rtl w:val="0"/>
        </w:rPr>
      </w:r>
    </w:p>
    <w:tbl>
      <w:tblPr>
        <w:tblStyle w:val="Table3"/>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47"/>
        <w:gridCol w:w="2426"/>
        <w:gridCol w:w="2426"/>
        <w:tblGridChange w:id="0">
          <w:tblGrid>
            <w:gridCol w:w="2405"/>
            <w:gridCol w:w="2447"/>
            <w:gridCol w:w="2426"/>
            <w:gridCol w:w="2426"/>
          </w:tblGrid>
        </w:tblGridChange>
      </w:tblGrid>
      <w:tr>
        <w:trPr>
          <w:cantSplit w:val="0"/>
          <w:tblHeader w:val="0"/>
        </w:trPr>
        <w:tc>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1. pakkumine</w:t>
            </w:r>
          </w:p>
        </w:tc>
        <w:tc>
          <w:tcPr/>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2. pakkumine</w:t>
            </w:r>
          </w:p>
        </w:tc>
        <w:tc>
          <w:tcPr/>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3. pakkumine</w:t>
            </w:r>
          </w:p>
        </w:tc>
      </w:tr>
      <w:tr>
        <w:trPr>
          <w:cantSplit w:val="0"/>
          <w:tblHeader w:val="0"/>
        </w:trPr>
        <w:tc>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Hind kohe tasudes</w:t>
            </w:r>
          </w:p>
        </w:tc>
        <w:tc>
          <w:tcPr/>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949</w:t>
            </w:r>
          </w:p>
        </w:tc>
        <w:tc>
          <w:tcPr/>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949</w:t>
            </w:r>
          </w:p>
        </w:tc>
        <w:tc>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1015 €</w:t>
            </w:r>
          </w:p>
        </w:tc>
      </w:tr>
      <w:tr>
        <w:trPr>
          <w:cantSplit w:val="0"/>
          <w:tblHeader w:val="0"/>
        </w:trPr>
        <w:tc>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Järelmaksu periood</w:t>
            </w:r>
          </w:p>
        </w:tc>
        <w:tc>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24 kuud</w:t>
            </w:r>
          </w:p>
        </w:tc>
        <w:tc>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36 kuud</w:t>
            </w:r>
          </w:p>
        </w:tc>
        <w:tc>
          <w:tcPr/>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12 kuud</w:t>
            </w:r>
          </w:p>
        </w:tc>
      </w:tr>
      <w:tr>
        <w:trPr>
          <w:cantSplit w:val="0"/>
          <w:tblHeader w:val="0"/>
        </w:trPr>
        <w:tc>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Intressimäär (aastas)</w:t>
            </w:r>
          </w:p>
        </w:tc>
        <w:tc>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21,9%</w:t>
            </w:r>
          </w:p>
        </w:tc>
        <w:tc>
          <w:tcPr/>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23%</w:t>
            </w:r>
          </w:p>
        </w:tc>
        <w:tc>
          <w:tcPr/>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r>
      <w:tr>
        <w:trPr>
          <w:cantSplit w:val="0"/>
          <w:tblHeader w:val="0"/>
        </w:trPr>
        <w:tc>
          <w:tcPr/>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Lepingutasu</w:t>
            </w:r>
          </w:p>
        </w:tc>
        <w:tc>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25 €</w:t>
            </w:r>
          </w:p>
        </w:tc>
        <w:tc>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19,90 €</w:t>
            </w:r>
          </w:p>
        </w:tc>
        <w:tc>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19,90 €</w:t>
            </w:r>
          </w:p>
        </w:tc>
      </w:tr>
      <w:tr>
        <w:trPr>
          <w:cantSplit w:val="0"/>
          <w:tblHeader w:val="0"/>
        </w:trPr>
        <w:tc>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Igakuine kuumakse</w:t>
            </w:r>
          </w:p>
        </w:tc>
        <w:tc>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49,19 €</w:t>
            </w:r>
          </w:p>
        </w:tc>
        <w:tc>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36,74 €</w:t>
            </w:r>
          </w:p>
        </w:tc>
        <w:tc>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91,56 €</w:t>
            </w:r>
          </w:p>
        </w:tc>
      </w:tr>
      <w:tr>
        <w:trPr>
          <w:cantSplit w:val="0"/>
          <w:tblHeader w:val="0"/>
        </w:trPr>
        <w:tc>
          <w:tcPr/>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Krediidi kogukulu</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tc>
        <w:tc>
          <w:tcPr/>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103,62 €</w:t>
            </w:r>
          </w:p>
        </w:tc>
      </w:tr>
      <w:tr>
        <w:trPr>
          <w:cantSplit w:val="0"/>
          <w:tblHeader w:val="0"/>
        </w:trPr>
        <w:tc>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Kogu tagasimakstav summa</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tc>
        <w:tc>
          <w:tcPr/>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1342,54 €</w:t>
            </w:r>
          </w:p>
        </w:tc>
        <w:tc>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r>
      <w:tr>
        <w:trPr>
          <w:cantSplit w:val="0"/>
          <w:tblHeader w:val="0"/>
        </w:trPr>
        <w:tc>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Krediidi kulukuse määr</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tc>
        <w:tc>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27,7 %</w:t>
            </w:r>
          </w:p>
        </w:tc>
        <w:tc>
          <w:tcPr/>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Pole infot</w:t>
            </w:r>
          </w:p>
        </w:tc>
        <w:tc>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20,4 %</w:t>
            </w:r>
          </w:p>
        </w:tc>
      </w:tr>
    </w:tbl>
    <w:p w:rsidR="00000000" w:rsidDel="00000000" w:rsidP="00000000" w:rsidRDefault="00000000" w:rsidRPr="00000000" w14:paraId="00000057">
      <w:pPr>
        <w:rPr>
          <w:sz w:val="20"/>
          <w:szCs w:val="20"/>
        </w:rPr>
      </w:pPr>
      <w:r w:rsidDel="00000000" w:rsidR="00000000" w:rsidRPr="00000000">
        <w:rPr>
          <w:i w:val="1"/>
          <w:sz w:val="20"/>
          <w:szCs w:val="20"/>
          <w:rtl w:val="0"/>
        </w:rPr>
        <w:t xml:space="preserve">Vastust jagab õpetaja. Vaadake seda üheskoos alles pärast klassiarutelu teie valikutest.</w:t>
      </w: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rPr>
          <w:b w:val="1"/>
          <w:sz w:val="20"/>
          <w:szCs w:val="20"/>
        </w:rPr>
      </w:pPr>
      <w:r w:rsidDel="00000000" w:rsidR="00000000" w:rsidRPr="00000000">
        <w:rPr>
          <w:rtl w:val="0"/>
        </w:rPr>
      </w:r>
    </w:p>
    <w:p w:rsidR="00000000" w:rsidDel="00000000" w:rsidP="00000000" w:rsidRDefault="00000000" w:rsidRPr="00000000" w14:paraId="0000005B">
      <w:pPr>
        <w:widowControl w:val="0"/>
        <w:rPr>
          <w:b w:val="1"/>
          <w:sz w:val="20"/>
          <w:szCs w:val="20"/>
        </w:rPr>
      </w:pPr>
      <w:r w:rsidDel="00000000" w:rsidR="00000000" w:rsidRPr="00000000">
        <w:rPr>
          <w:rtl w:val="0"/>
        </w:rPr>
      </w:r>
    </w:p>
    <w:p w:rsidR="00000000" w:rsidDel="00000000" w:rsidP="00000000" w:rsidRDefault="00000000" w:rsidRPr="00000000" w14:paraId="0000005C">
      <w:pPr>
        <w:widowControl w:val="0"/>
        <w:rPr>
          <w:b w:val="1"/>
          <w:sz w:val="20"/>
          <w:szCs w:val="20"/>
        </w:rPr>
      </w:pPr>
      <w:r w:rsidDel="00000000" w:rsidR="00000000" w:rsidRPr="00000000">
        <w:rPr>
          <w:rtl w:val="0"/>
        </w:rPr>
      </w:r>
    </w:p>
    <w:p w:rsidR="00000000" w:rsidDel="00000000" w:rsidP="00000000" w:rsidRDefault="00000000" w:rsidRPr="00000000" w14:paraId="0000005D">
      <w:pPr>
        <w:widowControl w:val="0"/>
        <w:rPr>
          <w:b w:val="1"/>
          <w:sz w:val="20"/>
          <w:szCs w:val="20"/>
        </w:rPr>
      </w:pPr>
      <w:r w:rsidDel="00000000" w:rsidR="00000000" w:rsidRPr="00000000">
        <w:rPr>
          <w:rtl w:val="0"/>
        </w:rPr>
      </w:r>
    </w:p>
    <w:p w:rsidR="00000000" w:rsidDel="00000000" w:rsidP="00000000" w:rsidRDefault="00000000" w:rsidRPr="00000000" w14:paraId="0000005E">
      <w:pPr>
        <w:widowControl w:val="0"/>
        <w:rPr>
          <w:b w:val="1"/>
          <w:sz w:val="20"/>
          <w:szCs w:val="20"/>
        </w:rPr>
      </w:pPr>
      <w:r w:rsidDel="00000000" w:rsidR="00000000" w:rsidRPr="00000000">
        <w:rPr>
          <w:rtl w:val="0"/>
        </w:rPr>
      </w:r>
    </w:p>
    <w:p w:rsidR="00000000" w:rsidDel="00000000" w:rsidP="00000000" w:rsidRDefault="00000000" w:rsidRPr="00000000" w14:paraId="0000005F">
      <w:pPr>
        <w:widowControl w:val="0"/>
        <w:rPr>
          <w:b w:val="1"/>
          <w:sz w:val="20"/>
          <w:szCs w:val="2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1">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Krediidi kogukulu - kõik kulud, kaasa arvatud intress, lepingutasud, maksud ja muud tasud, mida tarbija on kohustatud seoses tarbijakrediidilepinguga maksma ja mis on krediidiandjale teada või peavad teada olema. </w:t>
      </w:r>
    </w:p>
  </w:footnote>
  <w:footnote w:id="1">
    <w:p w:rsidR="00000000" w:rsidDel="00000000" w:rsidP="00000000" w:rsidRDefault="00000000" w:rsidRPr="00000000" w14:paraId="00000062">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Kogu tagasimakstav summa - kõigi tarbija poolt krediidi tagasimaksmiseks ja krediidi kogukulu kandmiseks tehtavate maksete kogusumma (krediidisumma ja krediidi kogukulu summa).</w:t>
      </w:r>
    </w:p>
  </w:footnote>
  <w:footnote w:id="2">
    <w:p w:rsidR="00000000" w:rsidDel="00000000" w:rsidP="00000000" w:rsidRDefault="00000000" w:rsidRPr="00000000" w14:paraId="00000063">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Krediidi kulukuse määr - krediidi kogukulu tarbijale, mis on väljendatud aastase protsendimäärana kasutusse võetud krediidisummast või krediidi ülempiirist, eeldusel et tarbijakrediidileping kehtib kokkulepitud tähtaja jooksul ning et krediidiandja ja tarbija täidavad oma kohustusi tarbijakrediidilepingus kokkulepitud tingimustel ja tähtaegadel.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76" w:lineRule="auto"/>
      <w:jc w:val="right"/>
      <w:rPr/>
    </w:pPr>
    <w:r w:rsidDel="00000000" w:rsidR="00000000" w:rsidRPr="00000000">
      <w:rPr>
        <w:sz w:val="20"/>
        <w:szCs w:val="20"/>
        <w:highlight w:val="white"/>
      </w:rPr>
      <w:drawing>
        <wp:inline distB="114300" distT="114300" distL="114300" distR="114300">
          <wp:extent cx="1522087" cy="8331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2087" cy="8331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