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color w:val="1c1e21"/>
          <w:sz w:val="28"/>
          <w:szCs w:val="28"/>
          <w:highlight w:val="white"/>
        </w:rPr>
      </w:pPr>
      <w:r w:rsidDel="00000000" w:rsidR="00000000" w:rsidRPr="00000000">
        <w:rPr>
          <w:b w:val="1"/>
          <w:sz w:val="28"/>
          <w:szCs w:val="28"/>
          <w:rtl w:val="0"/>
        </w:rPr>
        <w:t xml:space="preserve">Tööleht  </w:t>
      </w:r>
      <w:r w:rsidDel="00000000" w:rsidR="00000000" w:rsidRPr="00000000">
        <w:rPr>
          <w:b w:val="1"/>
          <w:color w:val="1c1e21"/>
          <w:sz w:val="28"/>
          <w:szCs w:val="28"/>
          <w:highlight w:val="white"/>
          <w:rtl w:val="0"/>
        </w:rPr>
        <w:t xml:space="preserve">"Kuidas järelvalve tarbijat kaitseb?”</w:t>
      </w:r>
    </w:p>
    <w:p w:rsidR="00000000" w:rsidDel="00000000" w:rsidP="00000000" w:rsidRDefault="00000000" w:rsidRPr="00000000" w14:paraId="00000002">
      <w:pPr>
        <w:widowControl w:val="0"/>
        <w:spacing w:line="240" w:lineRule="auto"/>
        <w:rPr>
          <w:b w:val="1"/>
          <w:color w:val="1c1e2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color w:val="1d2129"/>
          <w:sz w:val="20"/>
          <w:szCs w:val="20"/>
          <w:highlight w:val="white"/>
        </w:rPr>
      </w:pPr>
      <w:r w:rsidDel="00000000" w:rsidR="00000000" w:rsidRPr="00000000">
        <w:rPr>
          <w:color w:val="1c1e21"/>
          <w:sz w:val="20"/>
          <w:szCs w:val="20"/>
          <w:rtl w:val="0"/>
        </w:rPr>
        <w:t xml:space="preserve">Märts on rahatarkuse kuu. Üks viis olla rahatark on oma raha hoiustada. Sellest, mida teeb Finantsinspektsioon selleks, et inimeste hoiustatud raha oleks kindlas kohas, kuuled käesolevas e-tunnis.</w:t>
      </w:r>
      <w:r w:rsidDel="00000000" w:rsidR="00000000" w:rsidRPr="00000000">
        <w:rPr>
          <w:rtl w:val="0"/>
        </w:rPr>
      </w:r>
    </w:p>
    <w:p w:rsidR="00000000" w:rsidDel="00000000" w:rsidP="00000000" w:rsidRDefault="00000000" w:rsidRPr="00000000" w14:paraId="00000004">
      <w:pPr>
        <w:widowControl w:val="0"/>
        <w:spacing w:line="240" w:lineRule="auto"/>
        <w:rPr>
          <w:color w:val="1d2129"/>
          <w:sz w:val="18"/>
          <w:szCs w:val="18"/>
          <w:highlight w:val="white"/>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2"/>
        </w:numPr>
        <w:spacing w:line="240" w:lineRule="auto"/>
        <w:ind w:left="720" w:hanging="360"/>
        <w:rPr>
          <w:sz w:val="20"/>
          <w:szCs w:val="20"/>
        </w:rPr>
      </w:pPr>
      <w:r w:rsidDel="00000000" w:rsidR="00000000" w:rsidRPr="00000000">
        <w:rPr>
          <w:sz w:val="20"/>
          <w:szCs w:val="20"/>
          <w:rtl w:val="0"/>
        </w:rPr>
        <w:t xml:space="preserve">enne otseülekannet täida tabeleid</w:t>
      </w:r>
    </w:p>
    <w:p w:rsidR="00000000" w:rsidDel="00000000" w:rsidP="00000000" w:rsidRDefault="00000000" w:rsidRPr="00000000" w14:paraId="00000007">
      <w:pPr>
        <w:widowControl w:val="0"/>
        <w:numPr>
          <w:ilvl w:val="0"/>
          <w:numId w:val="2"/>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2"/>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ENNE OTSEÜLEKANDE VAATAMIST LOE HOIUSTEST</w:t>
      </w:r>
    </w:p>
    <w:p w:rsidR="00000000" w:rsidDel="00000000" w:rsidP="00000000" w:rsidRDefault="00000000" w:rsidRPr="00000000" w14:paraId="000000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Ava artikkel </w:t>
      </w:r>
      <w:hyperlink r:id="rId6">
        <w:r w:rsidDel="00000000" w:rsidR="00000000" w:rsidRPr="00000000">
          <w:rPr>
            <w:color w:val="1155cc"/>
            <w:sz w:val="20"/>
            <w:szCs w:val="20"/>
            <w:u w:val="single"/>
            <w:rtl w:val="0"/>
          </w:rPr>
          <w:t xml:space="preserve">https://minuraha.ee/et/pangandus/hoiused</w:t>
        </w:r>
      </w:hyperlink>
      <w:r w:rsidDel="00000000" w:rsidR="00000000" w:rsidRPr="00000000">
        <w:rPr>
          <w:sz w:val="20"/>
          <w:szCs w:val="20"/>
          <w:rtl w:val="0"/>
        </w:rPr>
        <w:t xml:space="preserve">. Kirjelda artikli põhjal, mis on hoius ja milliseid hoiuse tüüpe on olemas. </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5925"/>
        <w:tblGridChange w:id="0">
          <w:tblGrid>
            <w:gridCol w:w="3075"/>
            <w:gridCol w:w="5925"/>
          </w:tblGrid>
        </w:tblGridChange>
      </w:tblGrid>
      <w:tr>
        <w:trPr>
          <w:cantSplit w:val="0"/>
          <w:trHeight w:val="64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b w:val="1"/>
                <w:sz w:val="20"/>
                <w:szCs w:val="20"/>
              </w:rPr>
            </w:pPr>
            <w:r w:rsidDel="00000000" w:rsidR="00000000" w:rsidRPr="00000000">
              <w:rPr>
                <w:b w:val="1"/>
                <w:sz w:val="20"/>
                <w:szCs w:val="20"/>
                <w:rtl w:val="0"/>
              </w:rPr>
              <w:t xml:space="preserve">Hoius on….</w:t>
            </w:r>
          </w:p>
        </w:tc>
      </w:tr>
      <w:tr>
        <w:trPr>
          <w:cantSplit w:val="0"/>
          <w:trHeight w:val="645"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20"/>
                <w:szCs w:val="20"/>
              </w:rPr>
            </w:pPr>
            <w:r w:rsidDel="00000000" w:rsidR="00000000" w:rsidRPr="00000000">
              <w:rPr>
                <w:b w:val="1"/>
                <w:sz w:val="20"/>
                <w:szCs w:val="20"/>
                <w:rtl w:val="0"/>
              </w:rPr>
              <w:t xml:space="preserve">Hoiuse tüübid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r>
      <w:tr>
        <w:trPr>
          <w:cantSplit w:val="0"/>
          <w:trHeight w:val="645"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r>
      <w:tr>
        <w:trPr>
          <w:cantSplit w:val="0"/>
          <w:trHeight w:val="645"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15">
            <w:pPr>
              <w:widowControl w:val="0"/>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rPr>
          <w:cantSplit w:val="0"/>
          <w:trHeight w:val="645"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17">
            <w:pPr>
              <w:widowControl w:val="0"/>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b w:val="1"/>
          <w:sz w:val="24"/>
          <w:szCs w:val="24"/>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rPr>
      </w:pPr>
      <w:r w:rsidDel="00000000" w:rsidR="00000000" w:rsidRPr="00000000">
        <w:rPr>
          <w:b w:val="1"/>
          <w:sz w:val="24"/>
          <w:szCs w:val="24"/>
          <w:rtl w:val="0"/>
        </w:rPr>
        <w:t xml:space="preserve">OTSEÜLEKANDE JÄREL UURI ERINEVAID HOIUSE VÕIMALUSI</w:t>
      </w:r>
    </w:p>
    <w:p w:rsidR="00000000" w:rsidDel="00000000" w:rsidP="00000000" w:rsidRDefault="00000000" w:rsidRPr="00000000" w14:paraId="0000002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5">
      <w:pPr>
        <w:widowControl w:val="0"/>
        <w:rPr>
          <w:sz w:val="20"/>
          <w:szCs w:val="20"/>
        </w:rPr>
      </w:pPr>
      <w:r w:rsidDel="00000000" w:rsidR="00000000" w:rsidRPr="00000000">
        <w:rPr>
          <w:rFonts w:ascii="Calibri" w:cs="Calibri" w:eastAsia="Calibri" w:hAnsi="Calibri"/>
          <w:rtl w:val="0"/>
        </w:rPr>
        <w:t xml:space="preserve">Võrdle kahe panga tähtajalise hoiuse tingimuse ja täida tabel. Seejärel otsusta, kummas pangas hoiustaksid enda raha kui sul oleks 10 000 eurot ja sooviksid seda hoiustada 12 kuuks. Miks valid just selle panga?</w:t>
      </w:r>
      <w:r w:rsidDel="00000000" w:rsidR="00000000" w:rsidRPr="00000000">
        <w:rPr>
          <w:rtl w:val="0"/>
        </w:rPr>
      </w:r>
    </w:p>
    <w:p w:rsidR="00000000" w:rsidDel="00000000" w:rsidP="00000000" w:rsidRDefault="00000000" w:rsidRPr="00000000" w14:paraId="00000026">
      <w:pPr>
        <w:widowControl w:val="0"/>
        <w:rPr>
          <w:b w:val="1"/>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Küsimus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Swedbank</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Info siin:</w:t>
            </w:r>
            <w:hyperlink r:id="rId7">
              <w:r w:rsidDel="00000000" w:rsidR="00000000" w:rsidRPr="00000000">
                <w:rPr>
                  <w:color w:val="1155cc"/>
                  <w:sz w:val="20"/>
                  <w:szCs w:val="20"/>
                  <w:u w:val="single"/>
                  <w:rtl w:val="0"/>
                </w:rPr>
                <w:t xml:space="preserve">https://www.swedbank.ee/private/investor/deposits/term?language=EST</w:t>
              </w:r>
            </w:hyperlink>
            <w:r w:rsidDel="00000000" w:rsidR="00000000" w:rsidRPr="00000000">
              <w:rPr>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SEB</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Info siin: </w:t>
            </w:r>
            <w:hyperlink r:id="rId8">
              <w:r w:rsidDel="00000000" w:rsidR="00000000" w:rsidRPr="00000000">
                <w:rPr>
                  <w:color w:val="1155cc"/>
                  <w:sz w:val="20"/>
                  <w:szCs w:val="20"/>
                  <w:u w:val="single"/>
                  <w:rtl w:val="0"/>
                </w:rPr>
                <w:t xml:space="preserve">https://www.seb.ee/eraklient/kogumine-ja-investeerimine/kogumine/tahtajaline-hoius</w:t>
              </w:r>
            </w:hyperlink>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hd w:fill="ffffff" w:val="clear"/>
              <w:spacing w:after="900" w:line="390" w:lineRule="auto"/>
              <w:ind w:left="0" w:firstLine="0"/>
              <w:rPr>
                <w:color w:val="231f20"/>
                <w:sz w:val="20"/>
                <w:szCs w:val="20"/>
              </w:rPr>
            </w:pPr>
            <w:r w:rsidDel="00000000" w:rsidR="00000000" w:rsidRPr="00000000">
              <w:rPr>
                <w:color w:val="231f20"/>
                <w:sz w:val="20"/>
                <w:szCs w:val="20"/>
                <w:rtl w:val="0"/>
              </w:rPr>
              <w:t xml:space="preserve">Kui suur on 12 kuu intress ja kuidas seda arvutatakse?</w:t>
            </w:r>
          </w:p>
          <w:p w:rsidR="00000000" w:rsidDel="00000000" w:rsidP="00000000" w:rsidRDefault="00000000" w:rsidRPr="00000000" w14:paraId="0000002D">
            <w:pPr>
              <w:widowControl w:val="0"/>
              <w:numPr>
                <w:ilvl w:val="0"/>
                <w:numId w:val="1"/>
              </w:numPr>
              <w:shd w:fill="ffffff" w:val="clear"/>
              <w:spacing w:after="900" w:line="390" w:lineRule="auto"/>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hd w:fill="ffffff" w:val="clear"/>
              <w:spacing w:after="900" w:line="390" w:lineRule="auto"/>
              <w:ind w:left="0" w:firstLine="0"/>
              <w:rPr>
                <w:color w:val="231f20"/>
                <w:sz w:val="20"/>
                <w:szCs w:val="20"/>
              </w:rPr>
            </w:pPr>
            <w:r w:rsidDel="00000000" w:rsidR="00000000" w:rsidRPr="00000000">
              <w:rPr>
                <w:color w:val="231f20"/>
                <w:sz w:val="20"/>
                <w:szCs w:val="20"/>
                <w:rtl w:val="0"/>
              </w:rPr>
              <w:t xml:space="preserve">Millised on hoiuste miinimumsummad ja tähtajad?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hd w:fill="ffffff" w:val="clear"/>
              <w:spacing w:after="900" w:line="390" w:lineRule="auto"/>
              <w:ind w:left="0" w:firstLine="0"/>
              <w:rPr>
                <w:sz w:val="20"/>
                <w:szCs w:val="20"/>
              </w:rPr>
            </w:pPr>
            <w:r w:rsidDel="00000000" w:rsidR="00000000" w:rsidRPr="00000000">
              <w:rPr>
                <w:color w:val="231f20"/>
                <w:sz w:val="20"/>
                <w:szCs w:val="20"/>
                <w:rtl w:val="0"/>
              </w:rPr>
              <w:t xml:space="preserve">Millistel juhtudel ei pea pank kokkulepitud intressi maksma?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hd w:fill="ffffff" w:val="clear"/>
              <w:spacing w:after="900" w:line="390" w:lineRule="auto"/>
              <w:ind w:left="0" w:firstLine="0"/>
              <w:rPr>
                <w:color w:val="231f20"/>
                <w:sz w:val="20"/>
                <w:szCs w:val="20"/>
              </w:rPr>
            </w:pPr>
            <w:r w:rsidDel="00000000" w:rsidR="00000000" w:rsidRPr="00000000">
              <w:rPr>
                <w:color w:val="231f20"/>
                <w:sz w:val="20"/>
                <w:szCs w:val="20"/>
                <w:rtl w:val="0"/>
              </w:rPr>
              <w:t xml:space="preserve">Millistel juhtudel võib pank hoiuse intressimäära ühepoolselt muuta?</w:t>
            </w:r>
          </w:p>
          <w:p w:rsidR="00000000" w:rsidDel="00000000" w:rsidP="00000000" w:rsidRDefault="00000000" w:rsidRPr="00000000" w14:paraId="00000039">
            <w:pPr>
              <w:widowControl w:val="0"/>
              <w:shd w:fill="ffffff" w:val="clear"/>
              <w:spacing w:after="900" w:line="390" w:lineRule="auto"/>
              <w:ind w:left="720" w:hanging="360"/>
              <w:rPr>
                <w:color w:val="231f2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hd w:fill="ffffff" w:val="clear"/>
              <w:spacing w:after="900" w:line="390" w:lineRule="auto"/>
              <w:ind w:left="0" w:firstLine="0"/>
              <w:rPr>
                <w:color w:val="231f20"/>
                <w:sz w:val="20"/>
                <w:szCs w:val="20"/>
              </w:rPr>
            </w:pPr>
            <w:r w:rsidDel="00000000" w:rsidR="00000000" w:rsidRPr="00000000">
              <w:rPr>
                <w:color w:val="231f20"/>
                <w:sz w:val="20"/>
                <w:szCs w:val="20"/>
                <w:rtl w:val="0"/>
              </w:rPr>
              <w:t xml:space="preserve">Millised on raha kasutamise võimalused enne hoiuse tähtaja lõppemist?</w:t>
            </w:r>
          </w:p>
          <w:p w:rsidR="00000000" w:rsidDel="00000000" w:rsidP="00000000" w:rsidRDefault="00000000" w:rsidRPr="00000000" w14:paraId="0000003D">
            <w:pPr>
              <w:widowControl w:val="0"/>
              <w:shd w:fill="ffffff" w:val="clear"/>
              <w:spacing w:after="900" w:line="390" w:lineRule="auto"/>
              <w:ind w:left="720" w:hanging="360"/>
              <w:rPr>
                <w:color w:val="231f2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hd w:fill="ffffff" w:val="clear"/>
              <w:spacing w:after="900" w:line="390" w:lineRule="auto"/>
              <w:ind w:left="0" w:firstLine="0"/>
              <w:rPr>
                <w:color w:val="231f20"/>
                <w:sz w:val="20"/>
                <w:szCs w:val="20"/>
              </w:rPr>
            </w:pPr>
            <w:r w:rsidDel="00000000" w:rsidR="00000000" w:rsidRPr="00000000">
              <w:rPr>
                <w:color w:val="231f20"/>
                <w:sz w:val="20"/>
                <w:szCs w:val="20"/>
                <w:rtl w:val="0"/>
              </w:rPr>
              <w:t xml:space="preserve">Kui ruttu ja milliste sanktsioonidega saab raha kätte hoiuse ennetähtaegsel lõpetamisel?</w:t>
            </w:r>
          </w:p>
          <w:p w:rsidR="00000000" w:rsidDel="00000000" w:rsidP="00000000" w:rsidRDefault="00000000" w:rsidRPr="00000000" w14:paraId="00000041">
            <w:pPr>
              <w:widowControl w:val="0"/>
              <w:shd w:fill="ffffff" w:val="clear"/>
              <w:spacing w:after="900" w:line="390" w:lineRule="auto"/>
              <w:ind w:left="0" w:firstLine="0"/>
              <w:rPr>
                <w:color w:val="231f2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hd w:fill="ffffff" w:val="clear"/>
              <w:spacing w:after="900" w:line="390" w:lineRule="auto"/>
              <w:ind w:left="0" w:firstLine="0"/>
              <w:rPr>
                <w:color w:val="231f20"/>
                <w:sz w:val="20"/>
                <w:szCs w:val="20"/>
              </w:rPr>
            </w:pPr>
            <w:r w:rsidDel="00000000" w:rsidR="00000000" w:rsidRPr="00000000">
              <w:rPr>
                <w:color w:val="231f20"/>
                <w:sz w:val="20"/>
                <w:szCs w:val="20"/>
                <w:rtl w:val="0"/>
              </w:rPr>
              <w:t xml:space="preserve">Kuidas, kelle poolt ja kui suures ulatuses on hoius tagatud? Info siin: </w:t>
            </w:r>
            <w:hyperlink r:id="rId9">
              <w:r w:rsidDel="00000000" w:rsidR="00000000" w:rsidRPr="00000000">
                <w:rPr>
                  <w:color w:val="1155cc"/>
                  <w:sz w:val="20"/>
                  <w:szCs w:val="20"/>
                  <w:u w:val="single"/>
                  <w:rtl w:val="0"/>
                </w:rPr>
                <w:t xml:space="preserve">https://www.tf.ee/hoiuste-kaitse/?fbclid=IwAR2_IQsf7JCi5ABSRtjO2ieKG8paynOKRZzTbLn0xs-I7zRgfLB7DU404uA</w:t>
              </w:r>
            </w:hyperlink>
            <w:r w:rsidDel="00000000" w:rsidR="00000000" w:rsidRPr="00000000">
              <w:rPr>
                <w:color w:val="231f20"/>
                <w:sz w:val="20"/>
                <w:szCs w:val="20"/>
                <w:rtl w:val="0"/>
              </w:rPr>
              <w:t xml:space="preserve"> </w:t>
            </w:r>
          </w:p>
          <w:p w:rsidR="00000000" w:rsidDel="00000000" w:rsidP="00000000" w:rsidRDefault="00000000" w:rsidRPr="00000000" w14:paraId="00000045">
            <w:pPr>
              <w:widowControl w:val="0"/>
              <w:shd w:fill="ffffff" w:val="clear"/>
              <w:spacing w:after="900" w:line="390" w:lineRule="auto"/>
              <w:ind w:left="0" w:firstLine="0"/>
              <w:rPr>
                <w:color w:val="231f2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8">
      <w:pPr>
        <w:widowControl w:val="0"/>
        <w:rPr>
          <w:b w:val="1"/>
          <w:sz w:val="20"/>
          <w:szCs w:val="20"/>
        </w:rPr>
      </w:pPr>
      <w:r w:rsidDel="00000000" w:rsidR="00000000" w:rsidRPr="00000000">
        <w:rPr>
          <w:rtl w:val="0"/>
        </w:rPr>
      </w:r>
    </w:p>
    <w:p w:rsidR="00000000" w:rsidDel="00000000" w:rsidP="00000000" w:rsidRDefault="00000000" w:rsidRPr="00000000" w14:paraId="00000049">
      <w:pPr>
        <w:widowControl w:val="0"/>
        <w:rPr>
          <w:b w:val="1"/>
          <w:sz w:val="20"/>
          <w:szCs w:val="20"/>
        </w:rPr>
      </w:pPr>
      <w:r w:rsidDel="00000000" w:rsidR="00000000" w:rsidRPr="00000000">
        <w:rPr>
          <w:rtl w:val="0"/>
        </w:rPr>
      </w:r>
    </w:p>
    <w:p w:rsidR="00000000" w:rsidDel="00000000" w:rsidP="00000000" w:rsidRDefault="00000000" w:rsidRPr="00000000" w14:paraId="0000004A">
      <w:pPr>
        <w:widowControl w:val="0"/>
        <w:numPr>
          <w:ilvl w:val="0"/>
          <w:numId w:val="3"/>
        </w:numPr>
        <w:ind w:left="720" w:hanging="360"/>
        <w:rPr>
          <w:sz w:val="20"/>
          <w:szCs w:val="20"/>
          <w:u w:val="none"/>
        </w:rPr>
      </w:pPr>
      <w:r w:rsidDel="00000000" w:rsidR="00000000" w:rsidRPr="00000000">
        <w:rPr>
          <w:sz w:val="20"/>
          <w:szCs w:val="20"/>
          <w:rtl w:val="0"/>
        </w:rPr>
        <w:t xml:space="preserve">Millise panga valid 10 000 euro hoiustamiseks 12 kuuks ja miks?</w:t>
      </w:r>
    </w:p>
    <w:p w:rsidR="00000000" w:rsidDel="00000000" w:rsidP="00000000" w:rsidRDefault="00000000" w:rsidRPr="00000000" w14:paraId="0000004B">
      <w:pPr>
        <w:widowControl w:val="0"/>
        <w:rPr>
          <w:b w:val="1"/>
          <w:sz w:val="20"/>
          <w:szCs w:val="20"/>
        </w:rPr>
      </w:pPr>
      <w:r w:rsidDel="00000000" w:rsidR="00000000" w:rsidRPr="00000000">
        <w:rPr>
          <w:rtl w:val="0"/>
        </w:rPr>
      </w:r>
    </w:p>
    <w:p w:rsidR="00000000" w:rsidDel="00000000" w:rsidP="00000000" w:rsidRDefault="00000000" w:rsidRPr="00000000" w14:paraId="0000004C">
      <w:pPr>
        <w:widowControl w:val="0"/>
        <w:rPr>
          <w:b w:val="1"/>
          <w:sz w:val="20"/>
          <w:szCs w:val="2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76" w:lineRule="auto"/>
      <w:jc w:val="right"/>
      <w:rPr/>
    </w:pPr>
    <w:r w:rsidDel="00000000" w:rsidR="00000000" w:rsidRPr="00000000">
      <w:rPr>
        <w:sz w:val="20"/>
        <w:szCs w:val="20"/>
        <w:highlight w:val="white"/>
      </w:rPr>
      <w:drawing>
        <wp:inline distB="114300" distT="114300" distL="114300" distR="114300">
          <wp:extent cx="1522087" cy="8331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2087" cy="8331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31f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tf.ee/hoiuste-kaitse/?fbclid=IwAR2_IQsf7JCi5ABSRtjO2ieKG8paynOKRZzTbLn0xs-I7zRgfLB7DU404uA" TargetMode="External"/><Relationship Id="rId5" Type="http://schemas.openxmlformats.org/officeDocument/2006/relationships/styles" Target="styles.xml"/><Relationship Id="rId6" Type="http://schemas.openxmlformats.org/officeDocument/2006/relationships/hyperlink" Target="https://minuraha.ee/et/pangandus/hoiused" TargetMode="External"/><Relationship Id="rId7" Type="http://schemas.openxmlformats.org/officeDocument/2006/relationships/hyperlink" Target="https://www.swedbank.ee/private/investor/deposits/term?language=EST" TargetMode="External"/><Relationship Id="rId8" Type="http://schemas.openxmlformats.org/officeDocument/2006/relationships/hyperlink" Target="https://www.seb.ee/eraklient/kogumine-ja-investeerimine/kogumine/tahtajaline-ho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