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E-TUND – KOHTUME ÜHISES VIRTUAALSES KLASSIRUUMIS </w:t>
      </w:r>
    </w:p>
    <w:p w:rsidR="00000000" w:rsidDel="00000000" w:rsidP="00000000" w:rsidRDefault="00000000" w:rsidRPr="00000000" w14:paraId="00000002">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TUNNIKAVA #452</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7815"/>
        <w:tblGridChange w:id="0">
          <w:tblGrid>
            <w:gridCol w:w="2040"/>
            <w:gridCol w:w="7815"/>
          </w:tblGrid>
        </w:tblGridChange>
      </w:tblGrid>
      <w:tr>
        <w:trPr>
          <w:cantSplit w:val="0"/>
          <w:trHeight w:val="454.140625" w:hRule="atLeast"/>
          <w:tblHeader w:val="0"/>
        </w:trPr>
        <w:tc>
          <w:tcPr/>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w:t>
            </w:r>
          </w:p>
        </w:tc>
        <w:tc>
          <w:tcPr/>
          <w:p w:rsidR="00000000" w:rsidDel="00000000" w:rsidP="00000000" w:rsidRDefault="00000000" w:rsidRPr="00000000" w14:paraId="00000006">
            <w:pPr>
              <w:widowControl w:val="0"/>
              <w:spacing w:line="240" w:lineRule="auto"/>
              <w:rPr>
                <w:rFonts w:ascii="Calibri" w:cs="Calibri" w:eastAsia="Calibri" w:hAnsi="Calibri"/>
                <w:b w:val="1"/>
                <w:sz w:val="20"/>
                <w:szCs w:val="20"/>
              </w:rPr>
            </w:pPr>
            <w:bookmarkStart w:colFirst="0" w:colLast="0" w:name="_gjdgxs" w:id="0"/>
            <w:bookmarkEnd w:id="0"/>
            <w:r w:rsidDel="00000000" w:rsidR="00000000" w:rsidRPr="00000000">
              <w:rPr>
                <w:rFonts w:ascii="Calibri" w:cs="Calibri" w:eastAsia="Calibri" w:hAnsi="Calibri"/>
                <w:b w:val="1"/>
                <w:sz w:val="20"/>
                <w:szCs w:val="20"/>
                <w:rtl w:val="0"/>
              </w:rPr>
              <w:t xml:space="preserve">Kas tõesti on kohtunik ja prokurör kaks eri inimest?</w:t>
            </w:r>
          </w:p>
        </w:tc>
      </w:tr>
      <w:tr>
        <w:trPr>
          <w:cantSplit w:val="0"/>
          <w:trHeight w:val="454.140625" w:hRule="atLeast"/>
          <w:tblHeader w:val="0"/>
        </w:trPr>
        <w:tc>
          <w:tcPr/>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Külalisõpetajad:</w:t>
            </w:r>
          </w:p>
        </w:tc>
        <w:tc>
          <w:tcPr/>
          <w:p w:rsidR="00000000" w:rsidDel="00000000" w:rsidP="00000000" w:rsidRDefault="00000000" w:rsidRPr="00000000" w14:paraId="00000008">
            <w:pPr>
              <w:widowControl w:val="0"/>
              <w:spacing w:line="240" w:lineRule="auto"/>
              <w:rPr>
                <w:rFonts w:ascii="Calibri" w:cs="Calibri" w:eastAsia="Calibri" w:hAnsi="Calibri"/>
                <w:sz w:val="20"/>
                <w:szCs w:val="20"/>
              </w:rPr>
            </w:pPr>
            <w:bookmarkStart w:colFirst="0" w:colLast="0" w:name="_u9sjv4n4rd4j" w:id="1"/>
            <w:bookmarkEnd w:id="1"/>
            <w:r w:rsidDel="00000000" w:rsidR="00000000" w:rsidRPr="00000000">
              <w:rPr>
                <w:rFonts w:ascii="Calibri" w:cs="Calibri" w:eastAsia="Calibri" w:hAnsi="Calibri"/>
                <w:b w:val="1"/>
                <w:sz w:val="20"/>
                <w:szCs w:val="20"/>
                <w:rtl w:val="0"/>
              </w:rPr>
              <w:t xml:space="preserve">Liivi Loide</w:t>
            </w:r>
            <w:r w:rsidDel="00000000" w:rsidR="00000000" w:rsidRPr="00000000">
              <w:rPr>
                <w:rFonts w:ascii="Calibri" w:cs="Calibri" w:eastAsia="Calibri" w:hAnsi="Calibri"/>
                <w:sz w:val="20"/>
                <w:szCs w:val="20"/>
                <w:rtl w:val="0"/>
              </w:rPr>
              <w:t xml:space="preserve">, Tartu Maakohtu kohtunik; kohtu esimees</w:t>
            </w:r>
          </w:p>
          <w:p w:rsidR="00000000" w:rsidDel="00000000" w:rsidP="00000000" w:rsidRDefault="00000000" w:rsidRPr="00000000" w14:paraId="00000009">
            <w:pPr>
              <w:widowControl w:val="0"/>
              <w:spacing w:line="240" w:lineRule="auto"/>
              <w:rPr>
                <w:rFonts w:ascii="Calibri" w:cs="Calibri" w:eastAsia="Calibri" w:hAnsi="Calibri"/>
                <w:sz w:val="20"/>
                <w:szCs w:val="20"/>
              </w:rPr>
            </w:pPr>
            <w:bookmarkStart w:colFirst="0" w:colLast="0" w:name="_aods8vb9gvrb" w:id="2"/>
            <w:bookmarkEnd w:id="2"/>
            <w:r w:rsidDel="00000000" w:rsidR="00000000" w:rsidRPr="00000000">
              <w:rPr>
                <w:rFonts w:ascii="Calibri" w:cs="Calibri" w:eastAsia="Calibri" w:hAnsi="Calibri"/>
                <w:b w:val="1"/>
                <w:sz w:val="20"/>
                <w:szCs w:val="20"/>
                <w:rtl w:val="0"/>
              </w:rPr>
              <w:t xml:space="preserve">Kairi Kaldoja</w:t>
            </w:r>
            <w:r w:rsidDel="00000000" w:rsidR="00000000" w:rsidRPr="00000000">
              <w:rPr>
                <w:rFonts w:ascii="Calibri" w:cs="Calibri" w:eastAsia="Calibri" w:hAnsi="Calibri"/>
                <w:sz w:val="20"/>
                <w:szCs w:val="20"/>
                <w:rtl w:val="0"/>
              </w:rPr>
              <w:t xml:space="preserve">, Lõuna ringkonnaprokuratuuri juhtivprokurör</w:t>
            </w:r>
          </w:p>
          <w:p w:rsidR="00000000" w:rsidDel="00000000" w:rsidP="00000000" w:rsidRDefault="00000000" w:rsidRPr="00000000" w14:paraId="0000000A">
            <w:pPr>
              <w:widowControl w:val="0"/>
              <w:spacing w:line="240" w:lineRule="auto"/>
              <w:rPr>
                <w:rFonts w:ascii="Calibri" w:cs="Calibri" w:eastAsia="Calibri" w:hAnsi="Calibri"/>
                <w:b w:val="1"/>
                <w:sz w:val="20"/>
                <w:szCs w:val="20"/>
              </w:rPr>
            </w:pPr>
            <w:bookmarkStart w:colFirst="0" w:colLast="0" w:name="_30j0zll" w:id="3"/>
            <w:bookmarkEnd w:id="3"/>
            <w:r w:rsidDel="00000000" w:rsidR="00000000" w:rsidRPr="00000000">
              <w:rPr>
                <w:rtl w:val="0"/>
              </w:rPr>
            </w:r>
          </w:p>
        </w:tc>
      </w:tr>
      <w:tr>
        <w:trPr>
          <w:cantSplit w:val="0"/>
          <w:trHeight w:val="454.140625" w:hRule="atLeast"/>
          <w:tblHeader w:val="0"/>
        </w:trPr>
        <w:tc>
          <w:tcPr/>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Õpilased:</w:t>
            </w:r>
          </w:p>
        </w:tc>
        <w:tc>
          <w:tcPr/>
          <w:p w:rsidR="00000000" w:rsidDel="00000000" w:rsidP="00000000" w:rsidRDefault="00000000" w:rsidRPr="00000000" w14:paraId="0000000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 klass</w:t>
            </w:r>
          </w:p>
        </w:tc>
      </w:tr>
      <w:tr>
        <w:trPr>
          <w:cantSplit w:val="0"/>
          <w:trHeight w:val="454.140625" w:hRule="atLeast"/>
          <w:tblHeader w:val="0"/>
        </w:trPr>
        <w:tc>
          <w:tcPr/>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Õpilane teab, mis vahe on kohtunikul ja prokuräri ja mõistab, mis juhtub siis, kui keegi pahateoga hakkama saab.</w:t>
            </w:r>
          </w:p>
        </w:tc>
      </w:tr>
      <w:tr>
        <w:trPr>
          <w:cantSplit w:val="0"/>
          <w:trHeight w:val="454.140625" w:hRule="atLeast"/>
          <w:tblHeader w:val="0"/>
        </w:trPr>
        <w:tc>
          <w:tcPr/>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Seos RÕK-iga:</w:t>
            </w:r>
          </w:p>
        </w:tc>
        <w:tc>
          <w:tcPr/>
          <w:p w:rsidR="00000000" w:rsidDel="00000000" w:rsidP="00000000" w:rsidRDefault="00000000" w:rsidRPr="00000000" w14:paraId="00000010">
            <w:pPr>
              <w:widowControl w:val="0"/>
              <w:spacing w:line="240" w:lineRule="auto"/>
              <w:rPr>
                <w:rFonts w:ascii="Calibri" w:cs="Calibri" w:eastAsia="Calibri" w:hAnsi="Calibri"/>
                <w:sz w:val="18"/>
                <w:szCs w:val="18"/>
              </w:rPr>
            </w:pPr>
            <w:hyperlink r:id="rId6">
              <w:r w:rsidDel="00000000" w:rsidR="00000000" w:rsidRPr="00000000">
                <w:rPr>
                  <w:rFonts w:ascii="Calibri" w:cs="Calibri" w:eastAsia="Calibri" w:hAnsi="Calibri"/>
                  <w:sz w:val="20"/>
                  <w:szCs w:val="20"/>
                  <w:rtl w:val="0"/>
                </w:rPr>
                <w:t xml:space="preserve">Sotsiaalne ja kodanikupädevus</w:t>
              </w:r>
            </w:hyperlink>
            <w:r w:rsidDel="00000000" w:rsidR="00000000" w:rsidRPr="00000000">
              <w:rPr>
                <w:rtl w:val="0"/>
              </w:rPr>
            </w:r>
          </w:p>
        </w:tc>
      </w:tr>
      <w:tr>
        <w:trPr>
          <w:cantSplit w:val="0"/>
          <w:trHeight w:val="1118.4960937499998" w:hRule="atLeast"/>
          <w:tblHeader w:val="0"/>
        </w:trPr>
        <w:tc>
          <w:tcPr>
            <w:gridSpan w:val="2"/>
            <w:shd w:fill="efefef" w:val="clear"/>
          </w:tcPr>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45-minutilise tunni ülesehitus:</w:t>
            </w:r>
          </w:p>
          <w:p w:rsidR="00000000" w:rsidDel="00000000" w:rsidP="00000000" w:rsidRDefault="00000000" w:rsidRPr="00000000" w14:paraId="00000012">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5 min                                                                 20 + 5 min                                                                       15 min</w:t>
            </w:r>
          </w:p>
          <w:p w:rsidR="00000000" w:rsidDel="00000000" w:rsidP="00000000" w:rsidRDefault="00000000" w:rsidRPr="00000000" w14:paraId="0000001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ettevalmistus ja häälestus                     ülekanne + küsimused külalisõpetajale                         õpilaste iseseisev töö klassis</w:t>
            </w:r>
          </w:p>
          <w:p w:rsidR="00000000" w:rsidDel="00000000" w:rsidP="00000000" w:rsidRDefault="00000000" w:rsidRPr="00000000" w14:paraId="00000014">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16">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 taust:</w:t>
            </w:r>
          </w:p>
        </w:tc>
        <w:tc>
          <w:tcPr/>
          <w:p w:rsidR="00000000" w:rsidDel="00000000" w:rsidP="00000000" w:rsidRDefault="00000000" w:rsidRPr="00000000" w14:paraId="00000017">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Prokurör ja kohtunik on sageli ametid, mis lähevad segamini – mõlemad ju esindavad riiki, mõlemate tööpõld on suuresti kohtusaalis. Aga mida nad tegelikult teevad? Koostöös Eesti Kohtutega läheme õigusemõistmise nädala raames Tartu Maakohtusse. Sel korral on külas Tartu Maakohtu kohtunik ja kohtu esimees Liivi Loide ning Lõuna ringkonnaprokuratuuri juhtivprokurör Kairi Kaldoja, kes räägivad näidete varal, mis on kõige olulisem meelde jätta nii kuulekale noorele kui ka sellele, kes on tahtmatult või ka meelega seadusega pahuksisse sattunud.</w:t>
            </w:r>
          </w:p>
        </w:tc>
      </w:tr>
      <w:tr>
        <w:trPr>
          <w:cantSplit w:val="0"/>
          <w:trHeight w:val="814.208984375" w:hRule="atLeast"/>
          <w:tblHeader w:val="0"/>
        </w:trPr>
        <w:tc>
          <w:tcPr/>
          <w:p w:rsidR="00000000" w:rsidDel="00000000" w:rsidP="00000000" w:rsidRDefault="00000000" w:rsidRPr="00000000" w14:paraId="00000018">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Häälestus:</w:t>
            </w:r>
          </w:p>
          <w:p w:rsidR="00000000" w:rsidDel="00000000" w:rsidP="00000000" w:rsidRDefault="00000000" w:rsidRPr="00000000" w14:paraId="00000019">
            <w:pPr>
              <w:widowControl w:val="0"/>
              <w:spacing w:line="276"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1A">
            <w:pPr>
              <w:shd w:fill="ffffff" w:val="clear"/>
              <w:spacing w:line="276" w:lineRule="auto"/>
              <w:rPr>
                <w:b w:val="1"/>
                <w:color w:val="45818e"/>
              </w:rPr>
            </w:pPr>
            <w:r w:rsidDel="00000000" w:rsidR="00000000" w:rsidRPr="00000000">
              <w:rPr>
                <w:rFonts w:ascii="Calibri" w:cs="Calibri" w:eastAsia="Calibri" w:hAnsi="Calibri"/>
                <w:sz w:val="20"/>
                <w:szCs w:val="20"/>
                <w:rtl w:val="0"/>
              </w:rPr>
              <w:t xml:space="preserve">Otsida täherägastikust kohtuniku ja prokuröri ametiga seotud sõnu. Sõnad: prokurör, kohtunik, tõendid, õiglus, karistus, seadus, kohtusaal, otsus, ülekuulamine, süüdistus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1595438</wp:posOffset>
                  </wp:positionH>
                  <wp:positionV relativeFrom="paragraph">
                    <wp:posOffset>418480</wp:posOffset>
                  </wp:positionV>
                  <wp:extent cx="1919288" cy="1763173"/>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9288" cy="1763173"/>
                          </a:xfrm>
                          <a:prstGeom prst="rect"/>
                          <a:ln/>
                        </pic:spPr>
                      </pic:pic>
                    </a:graphicData>
                  </a:graphic>
                </wp:anchor>
              </w:drawing>
            </w:r>
          </w:p>
          <w:p w:rsidR="00000000" w:rsidDel="00000000" w:rsidP="00000000" w:rsidRDefault="00000000" w:rsidRPr="00000000" w14:paraId="0000001B">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hd w:fill="ffffff" w:val="clea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hd w:fill="ffffff" w:val="clear"/>
              <w:spacing w:line="276" w:lineRule="auto"/>
              <w:jc w:val="both"/>
              <w:rPr>
                <w:rFonts w:ascii="Calibri" w:cs="Calibri" w:eastAsia="Calibri" w:hAnsi="Calibri"/>
                <w:sz w:val="20"/>
                <w:szCs w:val="20"/>
              </w:rPr>
            </w:pP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24">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Õpilaste iseseisev</w:t>
            </w:r>
          </w:p>
          <w:p w:rsidR="00000000" w:rsidDel="00000000" w:rsidP="00000000" w:rsidRDefault="00000000" w:rsidRPr="00000000" w14:paraId="0000002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töö:</w:t>
            </w:r>
            <w:r w:rsidDel="00000000" w:rsidR="00000000" w:rsidRPr="00000000">
              <w:rPr>
                <w:rtl w:val="0"/>
              </w:rPr>
            </w:r>
          </w:p>
        </w:tc>
        <w:tc>
          <w:tcPr/>
          <w:p w:rsidR="00000000" w:rsidDel="00000000" w:rsidP="00000000" w:rsidRDefault="00000000" w:rsidRPr="00000000" w14:paraId="00000026">
            <w:pPr>
              <w:pStyle w:val="Heading1"/>
              <w:keepNext w:val="0"/>
              <w:keepLines w:val="0"/>
              <w:spacing w:after="0" w:before="0" w:line="240" w:lineRule="auto"/>
              <w:ind w:right="221.45669291338663"/>
              <w:rPr>
                <w:rFonts w:ascii="Calibri" w:cs="Calibri" w:eastAsia="Calibri" w:hAnsi="Calibri"/>
                <w:sz w:val="20"/>
                <w:szCs w:val="20"/>
              </w:rPr>
            </w:pPr>
            <w:bookmarkStart w:colFirst="0" w:colLast="0" w:name="_1fob9te" w:id="4"/>
            <w:bookmarkEnd w:id="4"/>
            <w:r w:rsidDel="00000000" w:rsidR="00000000" w:rsidRPr="00000000">
              <w:rPr>
                <w:rFonts w:ascii="Calibri" w:cs="Calibri" w:eastAsia="Calibri" w:hAnsi="Calibri"/>
                <w:sz w:val="20"/>
                <w:szCs w:val="20"/>
                <w:rtl w:val="0"/>
              </w:rPr>
              <w:t xml:space="preserve">1) Vaadata prokuratuuri embleemi ja panna kirja, mida erinevad elemendid seal õpilase jaoks sümboliseerivad. Lisaks võib õpilastega rääkida, mida elemendid päriselt embleemil sümboliseerivad: </w:t>
            </w:r>
          </w:p>
          <w:p w:rsidR="00000000" w:rsidDel="00000000" w:rsidP="00000000" w:rsidRDefault="00000000" w:rsidRPr="00000000" w14:paraId="0000002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Kilp</w:t>
            </w:r>
            <w:r w:rsidDel="00000000" w:rsidR="00000000" w:rsidRPr="00000000">
              <w:rPr>
                <w:rFonts w:ascii="Calibri" w:cs="Calibri" w:eastAsia="Calibri" w:hAnsi="Calibri"/>
                <w:sz w:val="20"/>
                <w:szCs w:val="20"/>
                <w:rtl w:val="0"/>
              </w:rPr>
              <w:t xml:space="preserve"> - sümboliseerib baasi, vundamenti</w:t>
            </w:r>
          </w:p>
          <w:p w:rsidR="00000000" w:rsidDel="00000000" w:rsidP="00000000" w:rsidRDefault="00000000" w:rsidRPr="00000000" w14:paraId="0000002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Mõõk</w:t>
            </w:r>
            <w:r w:rsidDel="00000000" w:rsidR="00000000" w:rsidRPr="00000000">
              <w:rPr>
                <w:rFonts w:ascii="Calibri" w:cs="Calibri" w:eastAsia="Calibri" w:hAnsi="Calibri"/>
                <w:sz w:val="20"/>
                <w:szCs w:val="20"/>
                <w:rtl w:val="0"/>
              </w:rPr>
              <w:t xml:space="preserve"> - kaitseelement, õigluse jaluleseadja; õigluse kaitse, säilimise ja järelvalve tagamine</w:t>
            </w:r>
          </w:p>
          <w:p w:rsidR="00000000" w:rsidDel="00000000" w:rsidP="00000000" w:rsidRDefault="00000000" w:rsidRPr="00000000" w14:paraId="00000029">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Riigivapp</w:t>
            </w:r>
            <w:r w:rsidDel="00000000" w:rsidR="00000000" w:rsidRPr="00000000">
              <w:rPr>
                <w:rFonts w:ascii="Calibri" w:cs="Calibri" w:eastAsia="Calibri" w:hAnsi="Calibri"/>
                <w:sz w:val="20"/>
                <w:szCs w:val="20"/>
                <w:rtl w:val="0"/>
              </w:rPr>
              <w:t xml:space="preserve"> - riigikord ja riigiõigus, mille kaitsel ja järelvalvel ollakse</w:t>
            </w:r>
          </w:p>
          <w:p w:rsidR="00000000" w:rsidDel="00000000" w:rsidP="00000000" w:rsidRDefault="00000000" w:rsidRPr="00000000" w14:paraId="0000002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Tammevanik</w:t>
            </w:r>
            <w:r w:rsidDel="00000000" w:rsidR="00000000" w:rsidRPr="00000000">
              <w:rPr>
                <w:rFonts w:ascii="Calibri" w:cs="Calibri" w:eastAsia="Calibri" w:hAnsi="Calibri"/>
                <w:sz w:val="20"/>
                <w:szCs w:val="20"/>
                <w:rtl w:val="0"/>
              </w:rPr>
              <w:t xml:space="preserve"> - väärtuste-hinnangute kestvuse, püsivuse, alalhoidmise, hindamise sümbol</w:t>
            </w:r>
          </w:p>
          <w:p w:rsidR="00000000" w:rsidDel="00000000" w:rsidP="00000000" w:rsidRDefault="00000000" w:rsidRPr="00000000" w14:paraId="0000002B">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Kujundada kohtule embleem, millel on vähemalt 4 elementi. Kirjeldada, mida iga element embleemil sümboliseerib.</w:t>
            </w:r>
          </w:p>
          <w:p w:rsidR="00000000" w:rsidDel="00000000" w:rsidP="00000000" w:rsidRDefault="00000000" w:rsidRPr="00000000" w14:paraId="0000002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Vastata küsimusele: kummas ametis sina ennast tulevikus rohkem ette kujutaksid, kas kohtuniku või prokurörina. Miks?</w:t>
            </w:r>
          </w:p>
        </w:tc>
      </w:tr>
    </w:tbl>
    <w:p w:rsidR="00000000" w:rsidDel="00000000" w:rsidP="00000000" w:rsidRDefault="00000000" w:rsidRPr="00000000" w14:paraId="0000002D">
      <w:pPr>
        <w:widowControl w:val="0"/>
        <w:rPr>
          <w:sz w:val="20"/>
          <w:szCs w:val="20"/>
        </w:rPr>
      </w:pPr>
      <w:r w:rsidDel="00000000" w:rsidR="00000000" w:rsidRPr="00000000">
        <w:rPr>
          <w:rtl w:val="0"/>
        </w:rPr>
      </w:r>
    </w:p>
    <w:sectPr>
      <w:headerReference r:id="rId8" w:type="default"/>
      <w:headerReference r:id="rId9" w:type="even"/>
      <w:footerReference r:id="rId10" w:type="default"/>
      <w:footerReference r:id="rId11"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line="276" w:lineRule="auto"/>
      <w:jc w:val="right"/>
      <w:rPr/>
    </w:pPr>
    <w:r w:rsidDel="00000000" w:rsidR="00000000" w:rsidRPr="00000000">
      <w:rPr>
        <w:rFonts w:ascii="Roboto" w:cs="Roboto" w:eastAsia="Roboto" w:hAnsi="Roboto"/>
        <w:sz w:val="20"/>
        <w:szCs w:val="20"/>
        <w:highlight w:val="white"/>
      </w:rPr>
      <w:drawing>
        <wp:inline distB="114300" distT="114300" distL="114300" distR="114300">
          <wp:extent cx="752475" cy="733425"/>
          <wp:effectExtent b="0" l="0" r="0" t="0"/>
          <wp:docPr id="2" name="image1.png"/>
          <a:graphic>
            <a:graphicData uri="http://schemas.openxmlformats.org/drawingml/2006/picture">
              <pic:pic>
                <pic:nvPicPr>
                  <pic:cNvPr id="0" name="image1.png"/>
                  <pic:cNvPicPr preferRelativeResize="0"/>
                </pic:nvPicPr>
                <pic:blipFill>
                  <a:blip r:embed="rId1"/>
                  <a:srcRect b="-97435" l="0" r="0" t="0"/>
                  <a:stretch>
                    <a:fillRect/>
                  </a:stretch>
                </pic:blipFill>
                <pic:spPr>
                  <a:xfrm>
                    <a:off x="0" y="0"/>
                    <a:ext cx="752475" cy="7334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etunnid.tagasikooli.ee/jarelvaatamiseks/sotsiaalne-ja-kodanikupadevus"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