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rFonts w:ascii="Calibri" w:cs="Calibri" w:eastAsia="Calibri" w:hAnsi="Calibri"/>
          <w:b w:val="1"/>
          <w:rtl w:val="0"/>
        </w:rPr>
        <w:t xml:space="preserve">E-TUND – KOHTUME ÜHISES VIRTUAALSES KLASSIRUUMIS       </w:t>
      </w:r>
      <w:r w:rsidDel="00000000" w:rsidR="00000000" w:rsidRPr="00000000">
        <w:rPr>
          <w:b w:val="1"/>
          <w:rtl w:val="0"/>
        </w:rPr>
        <w:t xml:space="preserve">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rFonts w:ascii="Roboto" w:cs="Roboto" w:eastAsia="Roboto" w:hAnsi="Roboto"/>
          <w:sz w:val="20"/>
          <w:szCs w:val="20"/>
          <w:highlight w:val="white"/>
        </w:rPr>
        <w:drawing>
          <wp:inline distB="114300" distT="114300" distL="114300" distR="114300">
            <wp:extent cx="811461" cy="405730"/>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11461" cy="405730"/>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rFonts w:ascii="Calibri" w:cs="Calibri" w:eastAsia="Calibri" w:hAnsi="Calibri"/>
          <w:b w:val="1"/>
          <w:sz w:val="20"/>
          <w:szCs w:val="20"/>
          <w:rtl w:val="0"/>
        </w:rPr>
        <w:t xml:space="preserve">TUNNIKAVA #493</w:t>
      </w: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0"/>
        <w:gridCol w:w="7815"/>
        <w:tblGridChange w:id="0">
          <w:tblGrid>
            <w:gridCol w:w="2040"/>
            <w:gridCol w:w="7815"/>
          </w:tblGrid>
        </w:tblGridChange>
      </w:tblGrid>
      <w:tr>
        <w:trPr>
          <w:cantSplit w:val="0"/>
          <w:trHeight w:val="454.140625" w:hRule="atLeast"/>
          <w:tblHeader w:val="0"/>
        </w:trPr>
        <w:tc>
          <w:tcPr/>
          <w:p w:rsidR="00000000" w:rsidDel="00000000" w:rsidP="00000000" w:rsidRDefault="00000000" w:rsidRPr="00000000" w14:paraId="00000004">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w:t>
            </w:r>
          </w:p>
        </w:tc>
        <w:tc>
          <w:tcPr/>
          <w:p w:rsidR="00000000" w:rsidDel="00000000" w:rsidP="00000000" w:rsidRDefault="00000000" w:rsidRPr="00000000" w14:paraId="00000005">
            <w:pPr>
              <w:widowControl w:val="0"/>
              <w:spacing w:line="240" w:lineRule="auto"/>
              <w:rPr>
                <w:rFonts w:ascii="Calibri" w:cs="Calibri" w:eastAsia="Calibri" w:hAnsi="Calibri"/>
                <w:b w:val="1"/>
                <w:sz w:val="20"/>
                <w:szCs w:val="20"/>
              </w:rPr>
            </w:pPr>
            <w:bookmarkStart w:colFirst="0" w:colLast="0" w:name="_heading=h.gjdgxs" w:id="0"/>
            <w:bookmarkEnd w:id="0"/>
            <w:r w:rsidDel="00000000" w:rsidR="00000000" w:rsidRPr="00000000">
              <w:rPr>
                <w:rFonts w:ascii="Calibri" w:cs="Calibri" w:eastAsia="Calibri" w:hAnsi="Calibri"/>
                <w:b w:val="1"/>
                <w:sz w:val="20"/>
                <w:szCs w:val="20"/>
                <w:rtl w:val="0"/>
              </w:rPr>
              <w:t xml:space="preserve">Millised on Euroopa Liidu prioriteedid?</w:t>
            </w:r>
          </w:p>
        </w:tc>
      </w:tr>
      <w:tr>
        <w:trPr>
          <w:cantSplit w:val="0"/>
          <w:trHeight w:val="454.140625" w:hRule="atLeast"/>
          <w:tblHeader w:val="0"/>
        </w:trPr>
        <w:tc>
          <w:tcPr/>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Külalisõpetaja:</w:t>
            </w:r>
          </w:p>
        </w:tc>
        <w:tc>
          <w:tcPr/>
          <w:p w:rsidR="00000000" w:rsidDel="00000000" w:rsidP="00000000" w:rsidRDefault="00000000" w:rsidRPr="00000000" w14:paraId="00000007">
            <w:pPr>
              <w:widowControl w:val="0"/>
              <w:spacing w:line="240" w:lineRule="auto"/>
              <w:rPr>
                <w:rFonts w:ascii="Calibri" w:cs="Calibri" w:eastAsia="Calibri" w:hAnsi="Calibri"/>
                <w:sz w:val="20"/>
                <w:szCs w:val="20"/>
              </w:rPr>
            </w:pPr>
            <w:bookmarkStart w:colFirst="0" w:colLast="0" w:name="_heading=h.30j0zll" w:id="1"/>
            <w:bookmarkEnd w:id="1"/>
            <w:r w:rsidDel="00000000" w:rsidR="00000000" w:rsidRPr="00000000">
              <w:rPr>
                <w:rFonts w:ascii="Calibri" w:cs="Calibri" w:eastAsia="Calibri" w:hAnsi="Calibri"/>
                <w:b w:val="1"/>
                <w:sz w:val="20"/>
                <w:szCs w:val="20"/>
                <w:rtl w:val="0"/>
              </w:rPr>
              <w:t xml:space="preserve">Andrus Ansip</w:t>
            </w:r>
            <w:r w:rsidDel="00000000" w:rsidR="00000000" w:rsidRPr="00000000">
              <w:rPr>
                <w:rFonts w:ascii="Calibri" w:cs="Calibri" w:eastAsia="Calibri" w:hAnsi="Calibri"/>
                <w:sz w:val="20"/>
                <w:szCs w:val="20"/>
                <w:rtl w:val="0"/>
              </w:rPr>
              <w:t xml:space="preserve">, Euroopa Parlamendi saadik</w:t>
            </w:r>
          </w:p>
        </w:tc>
      </w:tr>
      <w:tr>
        <w:trPr>
          <w:cantSplit w:val="0"/>
          <w:trHeight w:val="454.140625" w:hRule="atLeast"/>
          <w:tblHeader w:val="0"/>
        </w:trPr>
        <w:tc>
          <w:tcPr/>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Õpilased:</w:t>
            </w:r>
          </w:p>
        </w:tc>
        <w:tc>
          <w:tcPr/>
          <w:p w:rsidR="00000000" w:rsidDel="00000000" w:rsidP="00000000" w:rsidRDefault="00000000" w:rsidRPr="00000000" w14:paraId="00000009">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10.–12. klass</w:t>
            </w:r>
          </w:p>
        </w:tc>
      </w:tr>
      <w:tr>
        <w:trPr>
          <w:cantSplit w:val="0"/>
          <w:trHeight w:val="454.140625" w:hRule="atLeast"/>
          <w:tblHeader w:val="0"/>
        </w:trPr>
        <w:tc>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Õpilane teab mõnda Euroopa Liidu prioriteeti. </w:t>
            </w:r>
          </w:p>
        </w:tc>
      </w:tr>
      <w:tr>
        <w:trPr>
          <w:cantSplit w:val="0"/>
          <w:trHeight w:val="454.140625" w:hRule="atLeast"/>
          <w:tblHeader w:val="0"/>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Seos RÕK-iga:</w:t>
            </w:r>
          </w:p>
        </w:tc>
        <w:tc>
          <w:tcPr/>
          <w:p w:rsidR="00000000" w:rsidDel="00000000" w:rsidP="00000000" w:rsidRDefault="00000000" w:rsidRPr="00000000" w14:paraId="0000000D">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sotsiaalne ja kodanikupädevus, digipädevus</w:t>
            </w:r>
            <w:r w:rsidDel="00000000" w:rsidR="00000000" w:rsidRPr="00000000">
              <w:rPr>
                <w:rtl w:val="0"/>
              </w:rPr>
            </w:r>
          </w:p>
        </w:tc>
      </w:tr>
      <w:tr>
        <w:trPr>
          <w:cantSplit w:val="0"/>
          <w:trHeight w:val="1118.4960937499998" w:hRule="atLeast"/>
          <w:tblHeader w:val="0"/>
        </w:trPr>
        <w:tc>
          <w:tcPr>
            <w:gridSpan w:val="2"/>
            <w:shd w:fill="efefef" w:val="clear"/>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45-minutilise tunni ülesehitus:</w:t>
            </w:r>
          </w:p>
          <w:p w:rsidR="00000000" w:rsidDel="00000000" w:rsidP="00000000" w:rsidRDefault="00000000" w:rsidRPr="00000000" w14:paraId="0000000F">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8 min                                                                 20 + 5 min                                                                       12 min</w:t>
            </w:r>
          </w:p>
          <w:p w:rsidR="00000000" w:rsidDel="00000000" w:rsidP="00000000" w:rsidRDefault="00000000" w:rsidRPr="00000000" w14:paraId="00000010">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ettevalmistus ja häälestus                     ülekanne + küsimused külalisõpetajale                         õpilaste iseseisev töö klassis</w:t>
            </w:r>
          </w:p>
          <w:p w:rsidR="00000000" w:rsidDel="00000000" w:rsidP="00000000" w:rsidRDefault="00000000" w:rsidRPr="00000000" w14:paraId="00000011">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1434.8437499999998" w:hRule="atLeast"/>
          <w:tblHeader w:val="0"/>
        </w:trPr>
        <w:tc>
          <w:tcPr/>
          <w:p w:rsidR="00000000" w:rsidDel="00000000" w:rsidP="00000000" w:rsidRDefault="00000000" w:rsidRPr="00000000" w14:paraId="00000013">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 taust:</w:t>
            </w:r>
          </w:p>
        </w:tc>
        <w:tc>
          <w:tcPr/>
          <w:p w:rsidR="00000000" w:rsidDel="00000000" w:rsidP="00000000" w:rsidRDefault="00000000" w:rsidRPr="00000000" w14:paraId="00000014">
            <w:pPr>
              <w:shd w:fill="ffffff" w:val="clea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Euroopas on mitmeid olulisi prioriteete, näiteks eesmärk saavutada kliimaneutraalsus või Euroopa hääle tugevdamine maailmas. Üks väga oluline eesmärk on ka digiajastule vastav Euroopa. Selleks tuleb tugevdada digitaalset suveräänsust ja kehtestada ise standardid, selle asemel et sõltuda kolmandatest riikidest. Sellel korral on e-tunnis külas Andrus Ansip, kes räägib, miks on vastu võetud Euroopa kiibimäärus oluline ning miks on tähtis püüd olla võimalikult sõltumatu.</w:t>
            </w:r>
          </w:p>
        </w:tc>
      </w:tr>
      <w:tr>
        <w:trPr>
          <w:cantSplit w:val="0"/>
          <w:trHeight w:val="814.208984375" w:hRule="atLeast"/>
          <w:tblHeader w:val="0"/>
        </w:trPr>
        <w:tc>
          <w:tcPr/>
          <w:p w:rsidR="00000000" w:rsidDel="00000000" w:rsidP="00000000" w:rsidRDefault="00000000" w:rsidRPr="00000000" w14:paraId="00000015">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Häälestus:</w:t>
            </w:r>
          </w:p>
          <w:p w:rsidR="00000000" w:rsidDel="00000000" w:rsidP="00000000" w:rsidRDefault="00000000" w:rsidRPr="00000000" w14:paraId="00000016">
            <w:pPr>
              <w:widowControl w:val="0"/>
              <w:spacing w:line="276"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17">
            <w:pPr>
              <w:shd w:fill="ffffff" w:val="clea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Mõelda koos paarilisega, millist kasu võib riikide omavaheline koostöö tuua ja millised võivad olla koostöö negatiivsed küljed. Tuua mõlema kohta kaks näidet. Klassiruumis võiks enne video vaatamist arutada ja nt tahvlile üles märkida õpilaste pakutud näited. </w:t>
            </w:r>
          </w:p>
          <w:p w:rsidR="00000000" w:rsidDel="00000000" w:rsidP="00000000" w:rsidRDefault="00000000" w:rsidRPr="00000000" w14:paraId="00000018">
            <w:pPr>
              <w:shd w:fill="ffffff" w:val="clea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Näidisvastus: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9">
            <w:pPr>
              <w:shd w:fill="ffffff" w:val="clear"/>
              <w:spacing w:line="240" w:lineRule="auto"/>
              <w:rPr>
                <w:rFonts w:ascii="Calibri" w:cs="Calibri" w:eastAsia="Calibri" w:hAnsi="Calibri"/>
                <w:sz w:val="20"/>
                <w:szCs w:val="20"/>
              </w:rPr>
            </w:pPr>
            <w:r w:rsidDel="00000000" w:rsidR="00000000" w:rsidRPr="00000000">
              <w:rPr>
                <w:rtl w:val="0"/>
              </w:rPr>
            </w:r>
          </w:p>
          <w:tbl>
            <w:tblPr>
              <w:tblStyle w:val="Table2"/>
              <w:tblW w:w="76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07.5"/>
              <w:gridCol w:w="3807.5"/>
              <w:tblGridChange w:id="0">
                <w:tblGrid>
                  <w:gridCol w:w="3807.5"/>
                  <w:gridCol w:w="380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Riikidevahelise koostöö plussid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Riikidevahelise koostöö miinused</w:t>
                  </w:r>
                </w:p>
              </w:tc>
            </w:tr>
            <w:tr>
              <w:trPr>
                <w:cantSplit w:val="0"/>
                <w:trHeight w:val="88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Võimalus saada olulisi maavarasid, mida enda riigis ei ole, nt nafta, gaas.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Liigne sõltuvus teistest riikidest, nt hakatakse ähvardama, et kui ei tee nii, siis me ei anna enam soodsat gaasi vms.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K</w:t>
                  </w:r>
                  <w:r w:rsidDel="00000000" w:rsidR="00000000" w:rsidRPr="00000000">
                    <w:rPr>
                      <w:rFonts w:ascii="Calibri" w:cs="Calibri" w:eastAsia="Calibri" w:hAnsi="Calibri"/>
                      <w:i w:val="1"/>
                      <w:sz w:val="20"/>
                      <w:szCs w:val="20"/>
                      <w:rtl w:val="0"/>
                    </w:rPr>
                    <w:t xml:space="preserve">oostöö võimaldab kiiret ja tõhusat reageerimist kriisidele ning aitab neid ennetada.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Kui on mitme riigi koostöö, siis peab arvestama, et kõiki osapooli kuulataks, mis võib otsuste vastuvõtmise muuta aeglaseks.</w:t>
                  </w:r>
                </w:p>
              </w:tc>
            </w:tr>
          </w:tbl>
          <w:p w:rsidR="00000000" w:rsidDel="00000000" w:rsidP="00000000" w:rsidRDefault="00000000" w:rsidRPr="00000000" w14:paraId="00000020">
            <w:pPr>
              <w:shd w:fill="ffffff" w:val="clear"/>
              <w:spacing w:line="240" w:lineRule="auto"/>
              <w:rPr>
                <w:rFonts w:ascii="Calibri" w:cs="Calibri" w:eastAsia="Calibri" w:hAnsi="Calibri"/>
                <w:i w:val="1"/>
                <w:sz w:val="20"/>
                <w:szCs w:val="20"/>
              </w:rPr>
            </w:pP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21">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Õpilaste iseseisev</w:t>
            </w:r>
          </w:p>
          <w:p w:rsidR="00000000" w:rsidDel="00000000" w:rsidP="00000000" w:rsidRDefault="00000000" w:rsidRPr="00000000" w14:paraId="00000022">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töö:</w:t>
            </w:r>
            <w:r w:rsidDel="00000000" w:rsidR="00000000" w:rsidRPr="00000000">
              <w:rPr>
                <w:rtl w:val="0"/>
              </w:rPr>
            </w:r>
          </w:p>
        </w:tc>
        <w:tc>
          <w:tcPr/>
          <w:p w:rsidR="00000000" w:rsidDel="00000000" w:rsidP="00000000" w:rsidRDefault="00000000" w:rsidRPr="00000000" w14:paraId="00000023">
            <w:pPr>
              <w:pStyle w:val="Heading1"/>
              <w:keepNext w:val="0"/>
              <w:keepLines w:val="0"/>
              <w:spacing w:after="0" w:before="0" w:line="240" w:lineRule="auto"/>
              <w:ind w:right="221.45669291338663"/>
              <w:rPr>
                <w:rFonts w:ascii="Calibri" w:cs="Calibri" w:eastAsia="Calibri" w:hAnsi="Calibri"/>
                <w:b w:val="1"/>
                <w:sz w:val="20"/>
                <w:szCs w:val="20"/>
              </w:rPr>
            </w:pPr>
            <w:bookmarkStart w:colFirst="0" w:colLast="0" w:name="_heading=h.1fob9te" w:id="2"/>
            <w:bookmarkEnd w:id="2"/>
            <w:r w:rsidDel="00000000" w:rsidR="00000000" w:rsidRPr="00000000">
              <w:rPr>
                <w:rFonts w:ascii="Calibri" w:cs="Calibri" w:eastAsia="Calibri" w:hAnsi="Calibri"/>
                <w:b w:val="1"/>
                <w:sz w:val="20"/>
                <w:szCs w:val="20"/>
                <w:rtl w:val="0"/>
              </w:rPr>
              <w:t xml:space="preserve">Vastata küsimustele video põhjal. Arutada vastuseid ühiselt klassiruumis. </w:t>
            </w:r>
          </w:p>
          <w:p w:rsidR="00000000" w:rsidDel="00000000" w:rsidP="00000000" w:rsidRDefault="00000000" w:rsidRPr="00000000" w14:paraId="0000002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Koroonapandeemia kui ka sõda Ukrainas on juhtinud tähelepanu ühele kitsaskohale Euroopas. Milline see on?</w:t>
            </w:r>
          </w:p>
          <w:p w:rsidR="00000000" w:rsidDel="00000000" w:rsidP="00000000" w:rsidRDefault="00000000" w:rsidRPr="00000000" w14:paraId="00000025">
            <w:pPr>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Euroopa liigne sõltuvus kolmandatest riikidest. Nt kiipide tootmine on liikunud Taiwani ja Lõuna-Koreasse, Ukraina sõda tõi gaasiga varustatuse probleemid. </w:t>
            </w:r>
          </w:p>
          <w:p w:rsidR="00000000" w:rsidDel="00000000" w:rsidP="00000000" w:rsidRDefault="00000000" w:rsidRPr="00000000" w14:paraId="0000002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2) Andrus Ansip juhtis tähelepanu kiipidele. Mille jaoks kiipe kasutatakse? Too näiteid. </w:t>
            </w:r>
            <w:r w:rsidDel="00000000" w:rsidR="00000000" w:rsidRPr="00000000">
              <w:rPr>
                <w:rFonts w:ascii="Calibri" w:cs="Calibri" w:eastAsia="Calibri" w:hAnsi="Calibri"/>
                <w:i w:val="1"/>
                <w:sz w:val="20"/>
                <w:szCs w:val="20"/>
                <w:rtl w:val="0"/>
              </w:rPr>
              <w:t xml:space="preserve">Kiipe kasutatakse tänapäeva tehnoloogias sisuliselt igal pool, nt nutitelefonid, arvutid, kodutehnika, elektriautod jne.</w:t>
            </w:r>
          </w:p>
          <w:p w:rsidR="00000000" w:rsidDel="00000000" w:rsidP="00000000" w:rsidRDefault="00000000" w:rsidRPr="00000000" w14:paraId="00000028">
            <w:pPr>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3) Miks on vastu võetud kiibimäärus Euroopa jaoks oluline? - </w:t>
            </w:r>
            <w:r w:rsidDel="00000000" w:rsidR="00000000" w:rsidRPr="00000000">
              <w:rPr>
                <w:rFonts w:ascii="Calibri" w:cs="Calibri" w:eastAsia="Calibri" w:hAnsi="Calibri"/>
                <w:i w:val="1"/>
                <w:sz w:val="20"/>
                <w:szCs w:val="20"/>
                <w:rtl w:val="0"/>
              </w:rPr>
              <w:t xml:space="preserve">Euroopas tekib võimekus luua kõige kaasaegsemaid kiipe. Ei pea sõltuma teistest riikidest, ei teki oht, et kui mõni kriis Euroopat tabab, siis peame sõltuma teistest riikidest. </w:t>
            </w:r>
          </w:p>
          <w:p w:rsidR="00000000" w:rsidDel="00000000" w:rsidP="00000000" w:rsidRDefault="00000000" w:rsidRPr="00000000" w14:paraId="0000002A">
            <w:pPr>
              <w:spacing w:line="240" w:lineRule="auto"/>
              <w:rPr>
                <w:rFonts w:ascii="Calibri" w:cs="Calibri" w:eastAsia="Calibri" w:hAnsi="Calibri"/>
                <w:sz w:val="20"/>
                <w:szCs w:val="20"/>
              </w:rPr>
            </w:pP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2B">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Võimalikud lisamaterjalid: </w:t>
            </w:r>
          </w:p>
        </w:tc>
        <w:tc>
          <w:tcPr/>
          <w:p w:rsidR="00000000" w:rsidDel="00000000" w:rsidP="00000000" w:rsidRDefault="00000000" w:rsidRPr="00000000" w14:paraId="0000002C">
            <w:pPr>
              <w:pStyle w:val="Heading1"/>
              <w:keepNext w:val="0"/>
              <w:keepLines w:val="0"/>
              <w:spacing w:after="0" w:before="0" w:line="240" w:lineRule="auto"/>
              <w:ind w:right="221.45669291338663"/>
              <w:rPr/>
            </w:pPr>
            <w:bookmarkStart w:colFirst="0" w:colLast="0" w:name="_heading=h.1fob9te" w:id="2"/>
            <w:bookmarkEnd w:id="2"/>
            <w:r w:rsidDel="00000000" w:rsidR="00000000" w:rsidRPr="00000000">
              <w:rPr>
                <w:rFonts w:ascii="Calibri" w:cs="Calibri" w:eastAsia="Calibri" w:hAnsi="Calibri"/>
                <w:sz w:val="20"/>
                <w:szCs w:val="20"/>
                <w:rtl w:val="0"/>
              </w:rPr>
              <w:t xml:space="preserve">Prioriteedid 2019–2024 </w:t>
            </w:r>
            <w:hyperlink r:id="rId8">
              <w:r w:rsidDel="00000000" w:rsidR="00000000" w:rsidRPr="00000000">
                <w:rPr>
                  <w:rFonts w:ascii="Calibri" w:cs="Calibri" w:eastAsia="Calibri" w:hAnsi="Calibri"/>
                  <w:color w:val="1155cc"/>
                  <w:sz w:val="20"/>
                  <w:szCs w:val="20"/>
                  <w:u w:val="single"/>
                  <w:rtl w:val="0"/>
                </w:rPr>
                <w:t xml:space="preserve">https://commission.europa.eu/strategy-and-policy/priorities-2019-2024_et</w:t>
              </w:r>
            </w:hyperlink>
            <w:r w:rsidDel="00000000" w:rsidR="00000000" w:rsidRPr="00000000">
              <w:rPr>
                <w:rtl w:val="0"/>
              </w:rPr>
            </w:r>
          </w:p>
          <w:p w:rsidR="00000000" w:rsidDel="00000000" w:rsidP="00000000" w:rsidRDefault="00000000" w:rsidRPr="00000000" w14:paraId="0000002D">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uheskoos.eu - </w:t>
            </w:r>
            <w:hyperlink r:id="rId9">
              <w:r w:rsidDel="00000000" w:rsidR="00000000" w:rsidRPr="00000000">
                <w:rPr>
                  <w:rFonts w:ascii="Calibri" w:cs="Calibri" w:eastAsia="Calibri" w:hAnsi="Calibri"/>
                  <w:color w:val="1155cc"/>
                  <w:sz w:val="20"/>
                  <w:szCs w:val="20"/>
                  <w:u w:val="single"/>
                  <w:rtl w:val="0"/>
                </w:rPr>
                <w:t xml:space="preserve">https://together.europarl.europa.eu/et/</w:t>
              </w:r>
            </w:hyperlink>
            <w:r w:rsidDel="00000000" w:rsidR="00000000" w:rsidRPr="00000000">
              <w:rPr>
                <w:rtl w:val="0"/>
              </w:rPr>
            </w:r>
          </w:p>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Euroopa noorteportaal - </w:t>
            </w:r>
            <w:hyperlink r:id="rId10">
              <w:r w:rsidDel="00000000" w:rsidR="00000000" w:rsidRPr="00000000">
                <w:rPr>
                  <w:rFonts w:ascii="Calibri" w:cs="Calibri" w:eastAsia="Calibri" w:hAnsi="Calibri"/>
                  <w:color w:val="1155cc"/>
                  <w:sz w:val="20"/>
                  <w:szCs w:val="20"/>
                  <w:u w:val="single"/>
                  <w:rtl w:val="0"/>
                </w:rPr>
                <w:t xml:space="preserve">https://youth.europa.eu/home_et</w:t>
              </w:r>
            </w:hyperlink>
            <w:r w:rsidDel="00000000" w:rsidR="00000000" w:rsidRPr="00000000">
              <w:rPr>
                <w:rtl w:val="0"/>
              </w:rPr>
            </w:r>
          </w:p>
          <w:p w:rsidR="00000000" w:rsidDel="00000000" w:rsidP="00000000" w:rsidRDefault="00000000" w:rsidRPr="00000000" w14:paraId="0000002F">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Euroopa noorteportaali hääleplatvorm - </w:t>
            </w:r>
            <w:hyperlink r:id="rId11">
              <w:r w:rsidDel="00000000" w:rsidR="00000000" w:rsidRPr="00000000">
                <w:rPr>
                  <w:rFonts w:ascii="Calibri" w:cs="Calibri" w:eastAsia="Calibri" w:hAnsi="Calibri"/>
                  <w:color w:val="1155cc"/>
                  <w:sz w:val="20"/>
                  <w:szCs w:val="20"/>
                  <w:u w:val="single"/>
                  <w:rtl w:val="0"/>
                </w:rPr>
                <w:t xml:space="preserve">https://voices.youth.europa.eu/#/</w:t>
              </w:r>
            </w:hyperlink>
            <w:r w:rsidDel="00000000" w:rsidR="00000000" w:rsidRPr="00000000">
              <w:rPr>
                <w:rtl w:val="0"/>
              </w:rPr>
            </w:r>
          </w:p>
          <w:p w:rsidR="00000000" w:rsidDel="00000000" w:rsidP="00000000" w:rsidRDefault="00000000" w:rsidRPr="00000000" w14:paraId="00000030">
            <w:pPr>
              <w:widowControl w:val="0"/>
              <w:rPr/>
            </w:pPr>
            <w:r w:rsidDel="00000000" w:rsidR="00000000" w:rsidRPr="00000000">
              <w:rPr>
                <w:rFonts w:ascii="Calibri" w:cs="Calibri" w:eastAsia="Calibri" w:hAnsi="Calibri"/>
                <w:sz w:val="20"/>
                <w:szCs w:val="20"/>
                <w:rtl w:val="0"/>
              </w:rPr>
              <w:t xml:space="preserve">EP tegevust tutvustavad videod - </w:t>
            </w:r>
            <w:hyperlink r:id="rId12">
              <w:r w:rsidDel="00000000" w:rsidR="00000000" w:rsidRPr="00000000">
                <w:rPr>
                  <w:rFonts w:ascii="Calibri" w:cs="Calibri" w:eastAsia="Calibri" w:hAnsi="Calibri"/>
                  <w:color w:val="1155cc"/>
                  <w:sz w:val="20"/>
                  <w:szCs w:val="20"/>
                  <w:u w:val="single"/>
                  <w:rtl w:val="0"/>
                </w:rPr>
                <w:t xml:space="preserve">https://multimedia.europarl.europa.eu/et/topic/graphics-and-infographics_27313</w:t>
              </w:r>
            </w:hyperlink>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rtl w:val="0"/>
              </w:rPr>
            </w:r>
          </w:p>
        </w:tc>
      </w:tr>
    </w:tbl>
    <w:p w:rsidR="00000000" w:rsidDel="00000000" w:rsidP="00000000" w:rsidRDefault="00000000" w:rsidRPr="00000000" w14:paraId="00000032">
      <w:pPr>
        <w:widowControl w:val="0"/>
        <w:rPr>
          <w:rFonts w:ascii="Calibri" w:cs="Calibri" w:eastAsia="Calibri" w:hAnsi="Calibri"/>
          <w:sz w:val="20"/>
          <w:szCs w:val="20"/>
        </w:rPr>
      </w:pPr>
      <w:r w:rsidDel="00000000" w:rsidR="00000000" w:rsidRPr="00000000">
        <w:rPr>
          <w:rFonts w:ascii="Calibri" w:cs="Calibri" w:eastAsia="Calibri" w:hAnsi="Calibri"/>
          <w:i w:val="1"/>
          <w:sz w:val="18"/>
          <w:szCs w:val="18"/>
          <w:rtl w:val="0"/>
        </w:rPr>
        <w:t xml:space="preserve">* Tunnikava on loodud selleks, et pakkuda õpetajatele välja erinevaid variante õpilaste aktiivseks kaasamiseks tunni teemasse. Tunnikava ei pea tingimata kasutama.</w:t>
      </w:r>
      <w:r w:rsidDel="00000000" w:rsidR="00000000" w:rsidRPr="00000000">
        <w:rPr>
          <w:rFonts w:ascii="Calibri" w:cs="Calibri" w:eastAsia="Calibri" w:hAnsi="Calibri"/>
          <w:b w:val="1"/>
          <w:sz w:val="20"/>
          <w:szCs w:val="20"/>
          <w:rtl w:val="0"/>
        </w:rPr>
        <w:br w:type="textWrapping"/>
        <w:br w:type="textWrapp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400050</wp:posOffset>
            </wp:positionH>
            <wp:positionV relativeFrom="paragraph">
              <wp:posOffset>442913</wp:posOffset>
            </wp:positionV>
            <wp:extent cx="1004888" cy="814593"/>
            <wp:effectExtent b="0" l="0" r="0" t="0"/>
            <wp:wrapNone/>
            <wp:docPr id="3"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1004888" cy="81459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2055975</wp:posOffset>
            </wp:positionH>
            <wp:positionV relativeFrom="paragraph">
              <wp:posOffset>471488</wp:posOffset>
            </wp:positionV>
            <wp:extent cx="1614488" cy="768434"/>
            <wp:effectExtent b="0" l="0" r="0" t="0"/>
            <wp:wrapNone/>
            <wp:docPr id="5"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1614488" cy="76843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3952875</wp:posOffset>
            </wp:positionH>
            <wp:positionV relativeFrom="paragraph">
              <wp:posOffset>590550</wp:posOffset>
            </wp:positionV>
            <wp:extent cx="2134964" cy="533741"/>
            <wp:effectExtent b="0" l="0" r="0" t="0"/>
            <wp:wrapNone/>
            <wp:docPr id="6"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2134964" cy="533741"/>
                    </a:xfrm>
                    <a:prstGeom prst="rect"/>
                    <a:ln/>
                  </pic:spPr>
                </pic:pic>
              </a:graphicData>
            </a:graphic>
          </wp:anchor>
        </w:drawing>
      </w:r>
    </w:p>
    <w:p w:rsidR="00000000" w:rsidDel="00000000" w:rsidP="00000000" w:rsidRDefault="00000000" w:rsidRPr="00000000" w14:paraId="00000033">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voices.youth.europa.eu/#/" TargetMode="External"/><Relationship Id="rId10" Type="http://schemas.openxmlformats.org/officeDocument/2006/relationships/hyperlink" Target="https://youth.europa.eu/home_et" TargetMode="External"/><Relationship Id="rId13" Type="http://schemas.openxmlformats.org/officeDocument/2006/relationships/image" Target="media/image4.png"/><Relationship Id="rId12" Type="http://schemas.openxmlformats.org/officeDocument/2006/relationships/hyperlink" Target="https://multimedia.europarl.europa.eu/et/topic/graphics-and-infographics_2731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ogether.europarl.europa.eu/et/" TargetMode="External"/><Relationship Id="rId15" Type="http://schemas.openxmlformats.org/officeDocument/2006/relationships/image" Target="media/image1.png"/><Relationship Id="rId14"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commission.europa.eu/strategy-and-policy/priorities-2019-2024_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FfJkEAC3k8oXKKk8uwZWY+esjg==">CgMxLjAyCGguZ2pkZ3hzMgloLjMwajB6bGwyCWguMWZvYjl0ZTIJaC4xZm9iOXRlOAByITFOanh2eTlpMmxKaWJwZ0FKM3Z1YVd6RjgtdWFXOHl0Zw==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